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30E3" w14:textId="25415D9D" w:rsidR="00D40F28" w:rsidRPr="00B53629" w:rsidRDefault="00D40F28" w:rsidP="00D01670">
      <w:pPr>
        <w:jc w:val="center"/>
        <w:rPr>
          <w:rFonts w:ascii="Arial" w:hAnsi="Arial" w:cs="Arial"/>
          <w:b/>
          <w:bCs/>
          <w:sz w:val="28"/>
          <w:szCs w:val="28"/>
        </w:rPr>
      </w:pPr>
      <w:r>
        <w:rPr>
          <w:rFonts w:ascii="Arial" w:hAnsi="Arial"/>
          <w:b/>
          <w:sz w:val="28"/>
        </w:rPr>
        <w:t>Rapport communautaire en matière d’itinérance :</w:t>
      </w:r>
    </w:p>
    <w:p w14:paraId="52BB08FC" w14:textId="3B70D4A6" w:rsidR="00D01670" w:rsidRPr="00B53629" w:rsidRDefault="004F79BF" w:rsidP="00D01670">
      <w:pPr>
        <w:jc w:val="center"/>
        <w:rPr>
          <w:rFonts w:ascii="Arial" w:hAnsi="Arial" w:cs="Arial"/>
          <w:b/>
          <w:bCs/>
          <w:sz w:val="28"/>
          <w:szCs w:val="28"/>
        </w:rPr>
      </w:pPr>
      <w:r>
        <w:rPr>
          <w:rFonts w:ascii="Arial" w:hAnsi="Arial"/>
          <w:b/>
          <w:sz w:val="28"/>
        </w:rPr>
        <w:t>Document</w:t>
      </w:r>
      <w:r w:rsidR="00D01670">
        <w:rPr>
          <w:rFonts w:ascii="Arial" w:hAnsi="Arial"/>
          <w:b/>
          <w:sz w:val="28"/>
        </w:rPr>
        <w:t xml:space="preserve"> de travail </w:t>
      </w:r>
      <w:r>
        <w:rPr>
          <w:rFonts w:ascii="Arial" w:hAnsi="Arial"/>
          <w:b/>
          <w:sz w:val="28"/>
        </w:rPr>
        <w:t>« c</w:t>
      </w:r>
      <w:r w:rsidR="00D01670">
        <w:rPr>
          <w:rFonts w:ascii="Arial" w:hAnsi="Arial"/>
          <w:b/>
          <w:sz w:val="28"/>
        </w:rPr>
        <w:t xml:space="preserve">omparaison des données </w:t>
      </w:r>
      <w:r>
        <w:rPr>
          <w:rFonts w:ascii="Arial" w:hAnsi="Arial"/>
          <w:b/>
          <w:sz w:val="28"/>
        </w:rPr>
        <w:t>à l’échelle</w:t>
      </w:r>
      <w:r w:rsidR="00D01670">
        <w:rPr>
          <w:rFonts w:ascii="Arial" w:hAnsi="Arial"/>
          <w:b/>
          <w:sz w:val="28"/>
        </w:rPr>
        <w:t xml:space="preserve"> communautaire</w:t>
      </w:r>
      <w:r>
        <w:rPr>
          <w:rFonts w:ascii="Arial" w:hAnsi="Arial"/>
          <w:b/>
          <w:sz w:val="28"/>
        </w:rPr>
        <w:t> »</w:t>
      </w:r>
      <w:r w:rsidR="00D01670">
        <w:rPr>
          <w:rFonts w:ascii="Arial" w:hAnsi="Arial"/>
          <w:b/>
          <w:sz w:val="28"/>
        </w:rPr>
        <w:t xml:space="preserve"> </w:t>
      </w:r>
      <w:r>
        <w:rPr>
          <w:rFonts w:ascii="Arial" w:hAnsi="Arial"/>
          <w:b/>
          <w:sz w:val="28"/>
        </w:rPr>
        <w:br/>
      </w:r>
      <w:r w:rsidR="00D01670">
        <w:rPr>
          <w:rFonts w:ascii="Arial" w:hAnsi="Arial"/>
          <w:b/>
          <w:sz w:val="28"/>
        </w:rPr>
        <w:t>pour la question 3.20</w:t>
      </w:r>
    </w:p>
    <w:p w14:paraId="54C2AAA1" w14:textId="77777777" w:rsidR="00B53629" w:rsidRDefault="00B53629" w:rsidP="00D01670">
      <w:pPr>
        <w:jc w:val="center"/>
        <w:rPr>
          <w:rFonts w:ascii="Arial" w:hAnsi="Arial" w:cs="Arial"/>
          <w:b/>
          <w:bCs/>
          <w:sz w:val="28"/>
          <w:szCs w:val="28"/>
        </w:rPr>
      </w:pPr>
    </w:p>
    <w:p w14:paraId="33BB488A" w14:textId="166E7CCE" w:rsidR="00D01670" w:rsidRPr="00B53629" w:rsidRDefault="00D01670" w:rsidP="0032436A">
      <w:pPr>
        <w:rPr>
          <w:rFonts w:ascii="Arial" w:hAnsi="Arial" w:cs="Arial"/>
          <w:sz w:val="28"/>
          <w:szCs w:val="28"/>
        </w:rPr>
      </w:pPr>
    </w:p>
    <w:p w14:paraId="651CDE77" w14:textId="607EB71B" w:rsidR="00D40F28" w:rsidRPr="00D40F28" w:rsidRDefault="00D40F28" w:rsidP="005E6D8E">
      <w:pPr>
        <w:spacing w:before="120"/>
        <w:rPr>
          <w:rFonts w:ascii="Arial" w:eastAsia="Adobe Gothic Std B" w:hAnsi="Arial" w:cs="Arial"/>
          <w:b/>
        </w:rPr>
      </w:pPr>
      <w:r>
        <w:rPr>
          <w:rFonts w:ascii="Arial" w:hAnsi="Arial"/>
          <w:b/>
        </w:rPr>
        <w:t xml:space="preserve">Qu’est-ce que </w:t>
      </w:r>
      <w:r w:rsidR="004F79BF">
        <w:rPr>
          <w:rFonts w:ascii="Arial" w:hAnsi="Arial"/>
          <w:b/>
        </w:rPr>
        <w:t>ce document</w:t>
      </w:r>
      <w:r>
        <w:rPr>
          <w:rFonts w:ascii="Arial" w:hAnsi="Arial"/>
          <w:b/>
        </w:rPr>
        <w:t xml:space="preserve"> de travail?</w:t>
      </w:r>
    </w:p>
    <w:p w14:paraId="670FAAC9" w14:textId="019DDEAA" w:rsidR="00591A42" w:rsidRDefault="005E6D8E" w:rsidP="005E6D8E">
      <w:pPr>
        <w:spacing w:before="120"/>
        <w:rPr>
          <w:rFonts w:ascii="Arial" w:eastAsia="Adobe Gothic Std B" w:hAnsi="Arial" w:cs="Arial"/>
        </w:rPr>
      </w:pPr>
      <w:r>
        <w:rPr>
          <w:rFonts w:ascii="Arial" w:hAnsi="Arial"/>
        </w:rPr>
        <w:t xml:space="preserve">Dans le Rapport communautaire en matière d’itinéraire (RCMI) de 2021-2022, la question 3.20 (facultative) renvoie à un autre </w:t>
      </w:r>
      <w:r w:rsidR="004F79BF">
        <w:rPr>
          <w:rFonts w:ascii="Arial" w:hAnsi="Arial"/>
        </w:rPr>
        <w:t>document</w:t>
      </w:r>
      <w:r>
        <w:rPr>
          <w:rFonts w:ascii="Arial" w:hAnsi="Arial"/>
        </w:rPr>
        <w:t xml:space="preserve"> de travail élaborée pour aider les </w:t>
      </w:r>
      <w:r w:rsidR="004F79BF">
        <w:rPr>
          <w:rFonts w:ascii="Arial" w:hAnsi="Arial"/>
        </w:rPr>
        <w:t>communauté</w:t>
      </w:r>
      <w:r>
        <w:rPr>
          <w:rFonts w:ascii="Arial" w:hAnsi="Arial"/>
        </w:rPr>
        <w:t xml:space="preserve">s à évaluer elles-mêmes </w:t>
      </w:r>
      <w:r w:rsidR="004F79BF">
        <w:rPr>
          <w:rFonts w:ascii="Arial" w:hAnsi="Arial"/>
        </w:rPr>
        <w:t>l’exhaustivité de</w:t>
      </w:r>
      <w:r>
        <w:rPr>
          <w:rFonts w:ascii="Arial" w:hAnsi="Arial"/>
        </w:rPr>
        <w:t xml:space="preserve"> leur liste. </w:t>
      </w:r>
      <w:r w:rsidR="004F79BF">
        <w:rPr>
          <w:rFonts w:ascii="Arial" w:hAnsi="Arial"/>
        </w:rPr>
        <w:t>Le document</w:t>
      </w:r>
      <w:r>
        <w:rPr>
          <w:rFonts w:ascii="Arial" w:hAnsi="Arial"/>
        </w:rPr>
        <w:t xml:space="preserve"> de travail est inclus à l’</w:t>
      </w:r>
      <w:r>
        <w:rPr>
          <w:rFonts w:ascii="Arial" w:hAnsi="Arial"/>
          <w:b/>
          <w:bCs/>
        </w:rPr>
        <w:t>annexe A</w:t>
      </w:r>
      <w:r>
        <w:rPr>
          <w:rFonts w:ascii="Arial" w:hAnsi="Arial"/>
        </w:rPr>
        <w:t>.</w:t>
      </w:r>
    </w:p>
    <w:p w14:paraId="1384748F" w14:textId="0A4EDBAF" w:rsidR="00317605" w:rsidRDefault="009F74C1" w:rsidP="005E6D8E">
      <w:pPr>
        <w:spacing w:before="120"/>
        <w:rPr>
          <w:rFonts w:ascii="Arial" w:eastAsia="Adobe Gothic Std B" w:hAnsi="Arial" w:cs="Arial"/>
        </w:rPr>
      </w:pPr>
      <w:r>
        <w:rPr>
          <w:rFonts w:ascii="Arial" w:hAnsi="Arial"/>
        </w:rPr>
        <w:t>Question 3.20 :</w:t>
      </w:r>
    </w:p>
    <w:p w14:paraId="5C5456B3" w14:textId="310BA343" w:rsidR="00317605" w:rsidRDefault="00317605" w:rsidP="005E6D8E">
      <w:pPr>
        <w:spacing w:before="120"/>
        <w:rPr>
          <w:rFonts w:ascii="Arial" w:eastAsia="Adobe Gothic Std B" w:hAnsi="Arial" w:cs="Arial"/>
        </w:rPr>
      </w:pPr>
      <w:r>
        <w:rPr>
          <w:rFonts w:ascii="Arial" w:hAnsi="Arial"/>
          <w:b/>
          <w:noProof/>
        </w:rPr>
        <mc:AlternateContent>
          <mc:Choice Requires="wps">
            <w:drawing>
              <wp:anchor distT="0" distB="0" distL="114300" distR="114300" simplePos="0" relativeHeight="251658240" behindDoc="0" locked="0" layoutInCell="1" allowOverlap="1" wp14:anchorId="4639EFA9" wp14:editId="200FB648">
                <wp:simplePos x="0" y="0"/>
                <wp:positionH relativeFrom="column">
                  <wp:posOffset>0</wp:posOffset>
                </wp:positionH>
                <wp:positionV relativeFrom="paragraph">
                  <wp:posOffset>120650</wp:posOffset>
                </wp:positionV>
                <wp:extent cx="8229600" cy="1695450"/>
                <wp:effectExtent l="0" t="0" r="19050" b="19050"/>
                <wp:wrapNone/>
                <wp:docPr id="96" name="Rectangle: Rounded Corners 96"/>
                <wp:cNvGraphicFramePr/>
                <a:graphic xmlns:a="http://schemas.openxmlformats.org/drawingml/2006/main">
                  <a:graphicData uri="http://schemas.microsoft.com/office/word/2010/wordprocessingShape">
                    <wps:wsp>
                      <wps:cNvSpPr/>
                      <wps:spPr>
                        <a:xfrm>
                          <a:off x="0" y="0"/>
                          <a:ext cx="8229600" cy="1695450"/>
                        </a:xfrm>
                        <a:prstGeom prst="roundRect">
                          <a:avLst/>
                        </a:prstGeom>
                        <a:solidFill>
                          <a:schemeClr val="accent6">
                            <a:lumMod val="20000"/>
                            <a:lumOff val="8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EDFBB" w14:textId="77777777" w:rsidR="00602F1E" w:rsidRPr="00602F1E" w:rsidRDefault="00602F1E" w:rsidP="00602F1E">
                            <w:pPr>
                              <w:rPr>
                                <w:rFonts w:ascii="Arial" w:hAnsi="Arial"/>
                                <w:color w:val="000000" w:themeColor="text1"/>
                              </w:rPr>
                            </w:pPr>
                            <w:bookmarkStart w:id="0" w:name="_Hlk104930397"/>
                            <w:r w:rsidRPr="00602F1E">
                              <w:rPr>
                                <w:rFonts w:ascii="Arial" w:hAnsi="Arial"/>
                                <w:color w:val="000000" w:themeColor="text1"/>
                              </w:rPr>
                              <w:t xml:space="preserve">Le document de travail du RCMI « Comparaison des données à l’échelle communautaire » </w:t>
                            </w:r>
                            <w:bookmarkEnd w:id="0"/>
                            <w:r w:rsidRPr="00602F1E">
                              <w:rPr>
                                <w:rFonts w:ascii="Arial" w:hAnsi="Arial"/>
                                <w:color w:val="000000" w:themeColor="text1"/>
                              </w:rPr>
                              <w:t>a été élaboré afin d’aider les communautés à autoévaluer l’exhaustivité de leur liste. La question 3.20 du RCMI est une question de suivi facultative pour les communautés qui ont rempli le document de travail.</w:t>
                            </w:r>
                            <w:r w:rsidRPr="00602F1E">
                              <w:rPr>
                                <w:rFonts w:ascii="Arial" w:hAnsi="Arial"/>
                                <w:b/>
                                <w:bCs/>
                                <w:color w:val="000000" w:themeColor="text1"/>
                              </w:rPr>
                              <w:t xml:space="preserve"> </w:t>
                            </w:r>
                          </w:p>
                          <w:p w14:paraId="7799E491" w14:textId="77777777" w:rsidR="00602F1E" w:rsidRPr="00602F1E" w:rsidRDefault="00602F1E" w:rsidP="00602F1E">
                            <w:pPr>
                              <w:rPr>
                                <w:rFonts w:ascii="Arial" w:hAnsi="Arial"/>
                                <w:color w:val="000000" w:themeColor="text1"/>
                              </w:rPr>
                            </w:pPr>
                          </w:p>
                          <w:p w14:paraId="34608B5A" w14:textId="65E2947F" w:rsidR="00317605" w:rsidRPr="00317605" w:rsidRDefault="00602F1E" w:rsidP="00602F1E">
                            <w:pPr>
                              <w:rPr>
                                <w:rFonts w:ascii="Arial" w:eastAsia="Adobe Gothic Std B" w:hAnsi="Arial" w:cs="Arial"/>
                                <w:color w:val="000000" w:themeColor="text1"/>
                              </w:rPr>
                            </w:pPr>
                            <w:r w:rsidRPr="00602F1E">
                              <w:rPr>
                                <w:rFonts w:ascii="Arial" w:hAnsi="Arial"/>
                                <w:b/>
                                <w:bCs/>
                                <w:color w:val="000000" w:themeColor="text1"/>
                              </w:rPr>
                              <w:t>Question facultative du RCMI :</w:t>
                            </w:r>
                            <w:r w:rsidRPr="00602F1E">
                              <w:rPr>
                                <w:rFonts w:ascii="Arial" w:hAnsi="Arial"/>
                                <w:color w:val="000000" w:themeColor="text1"/>
                              </w:rPr>
                              <w:t xml:space="preserve"> </w:t>
                            </w:r>
                            <w:bookmarkStart w:id="1" w:name="_Hlk104930355"/>
                            <w:r w:rsidRPr="00602F1E">
                              <w:rPr>
                                <w:rFonts w:ascii="Arial" w:hAnsi="Arial"/>
                                <w:color w:val="000000" w:themeColor="text1"/>
                              </w:rPr>
                              <w:t xml:space="preserve">Comment les données de la liste se comparent-elles à d’autres sources de données communautaires considérées comme fiables? </w:t>
                            </w:r>
                            <w:bookmarkEnd w:id="1"/>
                            <w:r w:rsidRPr="00602F1E">
                              <w:rPr>
                                <w:rFonts w:ascii="Arial" w:hAnsi="Arial"/>
                                <w:color w:val="000000" w:themeColor="text1"/>
                              </w:rPr>
                              <w:t>Par exemple, si des données sont disponibles pour des périodes similaires, comment les chiffres et/ou les proportion de personnes qui séjournent dans des refuges ou sont sans abri se comparent-ils entre les sources de données?</w:t>
                            </w:r>
                          </w:p>
                          <w:p w14:paraId="0CB0B024" w14:textId="77777777" w:rsidR="00317605" w:rsidRPr="00317605" w:rsidRDefault="00317605" w:rsidP="0031760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9EFA9" id="Rectangle: Rounded Corners 96" o:spid="_x0000_s1026" style="position:absolute;margin-left:0;margin-top:9.5pt;width:9in;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" fillcolor="#e2efd9 [665]" strokecolor="#538135 [2409]" strokeweight="1.5pt">
                <v:stroke joinstyle="miter"/>
                <v:textbox>
                  <w:txbxContent>
                    <w:p w14:paraId="2ABEDFBB" w14:textId="77777777" w:rsidR="00602F1E" w:rsidRPr="00602F1E" w:rsidRDefault="00602F1E" w:rsidP="00602F1E">
                      <w:pPr>
                        <w:rPr>
                          <w:rFonts w:ascii="Arial" w:hAnsi="Arial"/>
                          <w:color w:val="000000" w:themeColor="text1"/>
                        </w:rPr>
                      </w:pPr>
                      <w:bookmarkStart w:id="2" w:name="_Hlk104930397"/>
                      <w:r w:rsidRPr="00602F1E">
                        <w:rPr>
                          <w:rFonts w:ascii="Arial" w:hAnsi="Arial"/>
                          <w:color w:val="000000" w:themeColor="text1"/>
                        </w:rPr>
                        <w:t xml:space="preserve">Le document de travail du RCMI « Comparaison des données à l’échelle communautaire » </w:t>
                      </w:r>
                      <w:bookmarkEnd w:id="2"/>
                      <w:r w:rsidRPr="00602F1E">
                        <w:rPr>
                          <w:rFonts w:ascii="Arial" w:hAnsi="Arial"/>
                          <w:color w:val="000000" w:themeColor="text1"/>
                        </w:rPr>
                        <w:t>a été élaboré afin d’aider les communautés à autoévaluer l’exhaustivité de leur liste. La question 3.20 du RCMI est une question de suivi facultative pour les communautés qui ont rempli le document de travail.</w:t>
                      </w:r>
                      <w:r w:rsidRPr="00602F1E">
                        <w:rPr>
                          <w:rFonts w:ascii="Arial" w:hAnsi="Arial"/>
                          <w:b/>
                          <w:bCs/>
                          <w:color w:val="000000" w:themeColor="text1"/>
                        </w:rPr>
                        <w:t xml:space="preserve"> </w:t>
                      </w:r>
                    </w:p>
                    <w:p w14:paraId="7799E491" w14:textId="77777777" w:rsidR="00602F1E" w:rsidRPr="00602F1E" w:rsidRDefault="00602F1E" w:rsidP="00602F1E">
                      <w:pPr>
                        <w:rPr>
                          <w:rFonts w:ascii="Arial" w:hAnsi="Arial"/>
                          <w:color w:val="000000" w:themeColor="text1"/>
                        </w:rPr>
                      </w:pPr>
                    </w:p>
                    <w:p w14:paraId="34608B5A" w14:textId="65E2947F" w:rsidR="00317605" w:rsidRPr="00317605" w:rsidRDefault="00602F1E" w:rsidP="00602F1E">
                      <w:pPr>
                        <w:rPr>
                          <w:rFonts w:ascii="Arial" w:eastAsia="Adobe Gothic Std B" w:hAnsi="Arial" w:cs="Arial"/>
                          <w:color w:val="000000" w:themeColor="text1"/>
                        </w:rPr>
                      </w:pPr>
                      <w:r w:rsidRPr="00602F1E">
                        <w:rPr>
                          <w:rFonts w:ascii="Arial" w:hAnsi="Arial"/>
                          <w:b/>
                          <w:bCs/>
                          <w:color w:val="000000" w:themeColor="text1"/>
                        </w:rPr>
                        <w:t>Question facultative du RCMI :</w:t>
                      </w:r>
                      <w:r w:rsidRPr="00602F1E">
                        <w:rPr>
                          <w:rFonts w:ascii="Arial" w:hAnsi="Arial"/>
                          <w:color w:val="000000" w:themeColor="text1"/>
                        </w:rPr>
                        <w:t xml:space="preserve"> </w:t>
                      </w:r>
                      <w:bookmarkStart w:id="3" w:name="_Hlk104930355"/>
                      <w:r w:rsidRPr="00602F1E">
                        <w:rPr>
                          <w:rFonts w:ascii="Arial" w:hAnsi="Arial"/>
                          <w:color w:val="000000" w:themeColor="text1"/>
                        </w:rPr>
                        <w:t xml:space="preserve">Comment les données de la liste se comparent-elles à d’autres sources de données communautaires considérées comme fiables? </w:t>
                      </w:r>
                      <w:bookmarkEnd w:id="3"/>
                      <w:r w:rsidRPr="00602F1E">
                        <w:rPr>
                          <w:rFonts w:ascii="Arial" w:hAnsi="Arial"/>
                          <w:color w:val="000000" w:themeColor="text1"/>
                        </w:rPr>
                        <w:t>Par exemple, si des données sont disponibles pour des périodes similaires, comment les chiffres et/ou les proportion de personnes qui séjournent dans des refuges ou sont sans abri se comparent-ils entre les sources de données?</w:t>
                      </w:r>
                    </w:p>
                    <w:p w14:paraId="0CB0B024" w14:textId="77777777" w:rsidR="00317605" w:rsidRPr="00317605" w:rsidRDefault="00317605" w:rsidP="00317605">
                      <w:pPr>
                        <w:jc w:val="center"/>
                        <w:rPr>
                          <w:color w:val="000000" w:themeColor="text1"/>
                        </w:rPr>
                      </w:pPr>
                    </w:p>
                  </w:txbxContent>
                </v:textbox>
              </v:roundrect>
            </w:pict>
          </mc:Fallback>
        </mc:AlternateContent>
      </w:r>
    </w:p>
    <w:p w14:paraId="0A9F3787" w14:textId="31EB23E5" w:rsidR="00317605" w:rsidRDefault="00317605" w:rsidP="005E6D8E">
      <w:pPr>
        <w:spacing w:before="120"/>
        <w:rPr>
          <w:rFonts w:ascii="Arial" w:eastAsia="Adobe Gothic Std B" w:hAnsi="Arial" w:cs="Arial"/>
        </w:rPr>
      </w:pPr>
    </w:p>
    <w:p w14:paraId="094D7807" w14:textId="5841FBD9" w:rsidR="00317605" w:rsidRDefault="00317605" w:rsidP="005E6D8E">
      <w:pPr>
        <w:spacing w:before="120"/>
        <w:rPr>
          <w:rFonts w:ascii="Arial" w:eastAsia="Adobe Gothic Std B" w:hAnsi="Arial" w:cs="Arial"/>
        </w:rPr>
      </w:pPr>
    </w:p>
    <w:p w14:paraId="7EB003BD" w14:textId="14206B1B" w:rsidR="00317605" w:rsidRDefault="00317605" w:rsidP="005E6D8E">
      <w:pPr>
        <w:spacing w:before="120"/>
        <w:rPr>
          <w:rFonts w:ascii="Arial" w:eastAsia="Adobe Gothic Std B" w:hAnsi="Arial" w:cs="Arial"/>
        </w:rPr>
      </w:pPr>
    </w:p>
    <w:p w14:paraId="419B227B" w14:textId="1E124860" w:rsidR="00317605" w:rsidRDefault="00317605" w:rsidP="005E6D8E">
      <w:pPr>
        <w:spacing w:before="120"/>
        <w:rPr>
          <w:rFonts w:ascii="Arial" w:eastAsia="Adobe Gothic Std B" w:hAnsi="Arial" w:cs="Arial"/>
        </w:rPr>
      </w:pPr>
    </w:p>
    <w:p w14:paraId="050CC9B9" w14:textId="77777777" w:rsidR="00317605" w:rsidRDefault="00317605" w:rsidP="005E6D8E">
      <w:pPr>
        <w:spacing w:before="120"/>
        <w:rPr>
          <w:rFonts w:ascii="Arial" w:eastAsia="Adobe Gothic Std B" w:hAnsi="Arial" w:cs="Arial"/>
        </w:rPr>
      </w:pPr>
    </w:p>
    <w:p w14:paraId="5866CB92" w14:textId="6CF23BF8" w:rsidR="00317605" w:rsidRDefault="00317605" w:rsidP="005E6D8E">
      <w:pPr>
        <w:spacing w:before="120"/>
        <w:rPr>
          <w:rFonts w:ascii="Arial" w:eastAsia="Adobe Gothic Std B" w:hAnsi="Arial" w:cs="Arial"/>
        </w:rPr>
      </w:pPr>
    </w:p>
    <w:p w14:paraId="15C93E7E" w14:textId="77777777" w:rsidR="004F79BF" w:rsidRDefault="004F79BF" w:rsidP="00591A42">
      <w:pPr>
        <w:spacing w:before="120"/>
        <w:rPr>
          <w:rFonts w:ascii="Arial" w:hAnsi="Arial"/>
          <w:b/>
        </w:rPr>
      </w:pPr>
    </w:p>
    <w:p w14:paraId="100BFBB3" w14:textId="2073CE97" w:rsidR="00591A42" w:rsidRPr="00D40F28" w:rsidRDefault="00591A42" w:rsidP="00591A42">
      <w:pPr>
        <w:spacing w:before="120"/>
        <w:rPr>
          <w:rFonts w:ascii="Arial" w:eastAsia="Adobe Gothic Std B" w:hAnsi="Arial" w:cs="Arial"/>
          <w:b/>
        </w:rPr>
      </w:pPr>
      <w:r>
        <w:rPr>
          <w:rFonts w:ascii="Arial" w:hAnsi="Arial"/>
          <w:b/>
        </w:rPr>
        <w:t>Quel est l’objectif de cet outil?</w:t>
      </w:r>
    </w:p>
    <w:p w14:paraId="3E78F704" w14:textId="6525F15A" w:rsidR="005E6D8E" w:rsidRDefault="00D40F28" w:rsidP="005E6D8E">
      <w:pPr>
        <w:spacing w:before="120"/>
        <w:rPr>
          <w:rFonts w:ascii="Arial" w:eastAsia="Adobe Gothic Std B" w:hAnsi="Arial" w:cs="Arial"/>
        </w:rPr>
      </w:pPr>
      <w:r>
        <w:rPr>
          <w:rFonts w:ascii="Arial" w:hAnsi="Arial"/>
        </w:rPr>
        <w:t xml:space="preserve">L’objectif de cet outil est d’aider les </w:t>
      </w:r>
      <w:r w:rsidR="004F79BF">
        <w:rPr>
          <w:rFonts w:ascii="Arial" w:hAnsi="Arial"/>
        </w:rPr>
        <w:t>communauté</w:t>
      </w:r>
      <w:r>
        <w:rPr>
          <w:rFonts w:ascii="Arial" w:hAnsi="Arial"/>
        </w:rPr>
        <w:t xml:space="preserve">s à mettre en place une liste complète, ce qui relève de l’étape 3 de l’approche axée sur les résultats. Pour en savoir plus sur l’approche axée sur les résultats et sur l’étape 3, consultez le guide de référence du RCMI (les pages </w:t>
      </w:r>
      <w:r w:rsidR="004F79BF">
        <w:rPr>
          <w:rFonts w:ascii="Arial" w:hAnsi="Arial"/>
        </w:rPr>
        <w:t>55 à 62</w:t>
      </w:r>
      <w:r>
        <w:rPr>
          <w:rFonts w:ascii="Arial" w:hAnsi="Arial"/>
        </w:rPr>
        <w:t xml:space="preserve"> abordent l’étape 3 en détail).</w:t>
      </w:r>
    </w:p>
    <w:p w14:paraId="51B827C0" w14:textId="4A7D4B7A" w:rsidR="002E5E78" w:rsidRDefault="00591A42" w:rsidP="002E5E78">
      <w:pPr>
        <w:spacing w:before="120"/>
        <w:rPr>
          <w:rFonts w:ascii="Arial" w:eastAsia="Adobe Gothic Std B" w:hAnsi="Arial" w:cs="Arial"/>
        </w:rPr>
      </w:pPr>
      <w:r>
        <w:rPr>
          <w:rFonts w:ascii="Arial" w:hAnsi="Arial"/>
        </w:rPr>
        <w:t xml:space="preserve">En faisant cet exercice, les </w:t>
      </w:r>
      <w:r w:rsidR="004F79BF">
        <w:rPr>
          <w:rFonts w:ascii="Arial" w:hAnsi="Arial"/>
        </w:rPr>
        <w:t>communauté</w:t>
      </w:r>
      <w:r>
        <w:rPr>
          <w:rFonts w:ascii="Arial" w:hAnsi="Arial"/>
        </w:rPr>
        <w:t xml:space="preserve">s peuvent mieux comprendre la façon dont leur liste se compare aux autres sources de données sur l’itinérance dans leur </w:t>
      </w:r>
      <w:r w:rsidR="004F79BF">
        <w:rPr>
          <w:rFonts w:ascii="Arial" w:hAnsi="Arial"/>
        </w:rPr>
        <w:t>communauté</w:t>
      </w:r>
      <w:r>
        <w:rPr>
          <w:rFonts w:ascii="Arial" w:hAnsi="Arial"/>
        </w:rPr>
        <w:t>. Elles peuvent ensuite utiliser ces informations pour cerner les écarts possibles qui doivent être comblés pour améliorer l’exhaustivité de leur liste et, par la suite, l’exactitude des données qui en découlent.</w:t>
      </w:r>
    </w:p>
    <w:p w14:paraId="60BED7B0" w14:textId="4B18BB34" w:rsidR="002E5E78" w:rsidRDefault="002E5E78" w:rsidP="002E5E78">
      <w:pPr>
        <w:spacing w:before="120"/>
        <w:rPr>
          <w:rFonts w:ascii="Arial" w:eastAsia="Adobe Gothic Std B" w:hAnsi="Arial" w:cs="Arial"/>
          <w:sz w:val="12"/>
          <w:szCs w:val="12"/>
        </w:rPr>
      </w:pPr>
    </w:p>
    <w:p w14:paraId="67C88817" w14:textId="77777777" w:rsidR="00625580" w:rsidRDefault="00625580" w:rsidP="002E5E78">
      <w:pPr>
        <w:spacing w:before="120"/>
        <w:rPr>
          <w:rFonts w:ascii="Arial" w:eastAsia="Adobe Gothic Std B" w:hAnsi="Arial" w:cs="Arial"/>
          <w:sz w:val="12"/>
          <w:szCs w:val="12"/>
        </w:rPr>
      </w:pPr>
    </w:p>
    <w:p w14:paraId="0ED29621" w14:textId="3FD63A78" w:rsidR="00B53629" w:rsidRDefault="00B53629" w:rsidP="002E5E78">
      <w:pPr>
        <w:spacing w:before="120"/>
        <w:rPr>
          <w:rFonts w:ascii="Arial" w:eastAsia="Adobe Gothic Std B" w:hAnsi="Arial" w:cs="Arial"/>
          <w:sz w:val="12"/>
          <w:szCs w:val="12"/>
        </w:rPr>
      </w:pPr>
    </w:p>
    <w:p w14:paraId="29F8F2BD" w14:textId="77777777" w:rsidR="00137136" w:rsidRDefault="00137136" w:rsidP="002E5E78">
      <w:pPr>
        <w:spacing w:before="120"/>
        <w:rPr>
          <w:rFonts w:ascii="Arial" w:eastAsia="Adobe Gothic Std B" w:hAnsi="Arial" w:cs="Arial"/>
          <w:sz w:val="12"/>
          <w:szCs w:val="12"/>
        </w:rPr>
      </w:pPr>
    </w:p>
    <w:p w14:paraId="50484440" w14:textId="2100BBEB" w:rsidR="00D40F28" w:rsidRPr="00F47565" w:rsidRDefault="00D40F28" w:rsidP="005E6D8E">
      <w:pPr>
        <w:spacing w:before="120"/>
        <w:rPr>
          <w:rFonts w:ascii="Arial" w:eastAsia="Adobe Gothic Std B" w:hAnsi="Arial" w:cs="Arial"/>
          <w:b/>
          <w:bCs/>
        </w:rPr>
      </w:pPr>
      <w:r>
        <w:rPr>
          <w:rFonts w:ascii="Arial" w:hAnsi="Arial"/>
          <w:b/>
        </w:rPr>
        <w:t>Qui peut remplir cet outil?</w:t>
      </w:r>
    </w:p>
    <w:p w14:paraId="6D6E4EF5" w14:textId="7A425423" w:rsidR="00D40F28" w:rsidRDefault="00D40F28" w:rsidP="005E6D8E">
      <w:pPr>
        <w:spacing w:before="120"/>
        <w:rPr>
          <w:rFonts w:ascii="Arial" w:eastAsia="Adobe Gothic Std B" w:hAnsi="Arial" w:cs="Arial"/>
        </w:rPr>
      </w:pPr>
      <w:r>
        <w:rPr>
          <w:rFonts w:ascii="Arial" w:hAnsi="Arial"/>
        </w:rPr>
        <w:t xml:space="preserve">Toute </w:t>
      </w:r>
      <w:r w:rsidR="004F79BF">
        <w:rPr>
          <w:rFonts w:ascii="Arial" w:hAnsi="Arial"/>
        </w:rPr>
        <w:t>communauté</w:t>
      </w:r>
      <w:r>
        <w:rPr>
          <w:rFonts w:ascii="Arial" w:hAnsi="Arial"/>
        </w:rPr>
        <w:t xml:space="preserve"> peut utiliser </w:t>
      </w:r>
      <w:r w:rsidR="00E2146F">
        <w:rPr>
          <w:rFonts w:ascii="Arial" w:hAnsi="Arial"/>
        </w:rPr>
        <w:t>ce document de</w:t>
      </w:r>
      <w:r>
        <w:rPr>
          <w:rFonts w:ascii="Arial" w:hAnsi="Arial"/>
        </w:rPr>
        <w:t xml:space="preserve"> travail pour mieux comparer les données de sa liste aux autres sources de données sur l’itinérance. Cela étant dit, </w:t>
      </w:r>
      <w:r w:rsidR="00E2146F">
        <w:rPr>
          <w:rFonts w:ascii="Arial" w:hAnsi="Arial"/>
        </w:rPr>
        <w:t xml:space="preserve">ce document </w:t>
      </w:r>
      <w:r>
        <w:rPr>
          <w:rFonts w:ascii="Arial" w:hAnsi="Arial"/>
        </w:rPr>
        <w:t xml:space="preserve">de travail a été élaborée tout particulièrement pour les </w:t>
      </w:r>
      <w:r w:rsidR="004F79BF">
        <w:rPr>
          <w:rFonts w:ascii="Arial" w:hAnsi="Arial"/>
        </w:rPr>
        <w:t>communauté</w:t>
      </w:r>
      <w:r>
        <w:rPr>
          <w:rFonts w:ascii="Arial" w:hAnsi="Arial"/>
        </w:rPr>
        <w:t xml:space="preserve">s financées par le volet </w:t>
      </w:r>
      <w:r w:rsidR="00E2146F">
        <w:rPr>
          <w:rFonts w:ascii="Arial" w:hAnsi="Arial"/>
        </w:rPr>
        <w:t>C</w:t>
      </w:r>
      <w:r w:rsidR="004F79BF">
        <w:rPr>
          <w:rFonts w:ascii="Arial" w:hAnsi="Arial"/>
        </w:rPr>
        <w:t>ommunauté</w:t>
      </w:r>
      <w:r>
        <w:rPr>
          <w:rFonts w:ascii="Arial" w:hAnsi="Arial"/>
        </w:rPr>
        <w:t>s désignées ou le volet</w:t>
      </w:r>
      <w:r w:rsidR="00E2146F">
        <w:rPr>
          <w:rFonts w:ascii="Arial" w:hAnsi="Arial"/>
        </w:rPr>
        <w:t xml:space="preserve"> I</w:t>
      </w:r>
      <w:r>
        <w:rPr>
          <w:rFonts w:ascii="Arial" w:hAnsi="Arial"/>
        </w:rPr>
        <w:t>tinérance dans les territoires, afin de les aider à remplir leur RCMI.</w:t>
      </w:r>
    </w:p>
    <w:p w14:paraId="0EA305C5" w14:textId="77777777" w:rsidR="002E5E78" w:rsidRPr="002E5E78" w:rsidRDefault="002E5E78" w:rsidP="005E6D8E">
      <w:pPr>
        <w:spacing w:before="120"/>
        <w:rPr>
          <w:rFonts w:ascii="Arial" w:eastAsia="Adobe Gothic Std B" w:hAnsi="Arial" w:cs="Arial"/>
          <w:b/>
          <w:bCs/>
          <w:sz w:val="12"/>
          <w:szCs w:val="12"/>
        </w:rPr>
      </w:pPr>
    </w:p>
    <w:p w14:paraId="149DCB2F" w14:textId="26ED36FD" w:rsidR="005E6D8E" w:rsidRPr="00F47565" w:rsidRDefault="00F47565" w:rsidP="005E6D8E">
      <w:pPr>
        <w:spacing w:before="120"/>
        <w:rPr>
          <w:rFonts w:ascii="Arial" w:eastAsia="Adobe Gothic Std B" w:hAnsi="Arial" w:cs="Arial"/>
          <w:b/>
          <w:bCs/>
        </w:rPr>
      </w:pPr>
      <w:r>
        <w:rPr>
          <w:rFonts w:ascii="Arial" w:hAnsi="Arial"/>
          <w:b/>
        </w:rPr>
        <w:t xml:space="preserve">Instructions pour remplir </w:t>
      </w:r>
      <w:r w:rsidR="004F79BF">
        <w:rPr>
          <w:rFonts w:ascii="Arial" w:hAnsi="Arial"/>
          <w:b/>
        </w:rPr>
        <w:t>le document</w:t>
      </w:r>
      <w:r>
        <w:rPr>
          <w:rFonts w:ascii="Arial" w:hAnsi="Arial"/>
          <w:b/>
        </w:rPr>
        <w:t xml:space="preserve"> de travail</w:t>
      </w:r>
    </w:p>
    <w:p w14:paraId="7CDD2F4C" w14:textId="64D08D3C" w:rsidR="00F47565" w:rsidRDefault="00F47565" w:rsidP="005E6D8E">
      <w:pPr>
        <w:spacing w:before="120"/>
        <w:rPr>
          <w:rFonts w:ascii="Arial" w:eastAsia="Adobe Gothic Std B" w:hAnsi="Arial" w:cs="Arial"/>
        </w:rPr>
      </w:pPr>
      <w:r>
        <w:rPr>
          <w:rFonts w:ascii="Arial" w:hAnsi="Arial"/>
        </w:rPr>
        <w:t>Voir la ci-après pour savoir comment remplir cette feuille de travail.</w:t>
      </w:r>
    </w:p>
    <w:p w14:paraId="0B5211B5" w14:textId="780CA605" w:rsidR="00F47565" w:rsidRPr="00E2146F" w:rsidRDefault="00F47565" w:rsidP="00F47565">
      <w:pPr>
        <w:pStyle w:val="ListParagraph"/>
        <w:numPr>
          <w:ilvl w:val="0"/>
          <w:numId w:val="4"/>
        </w:numPr>
        <w:spacing w:before="120"/>
        <w:rPr>
          <w:rFonts w:ascii="Arial" w:eastAsia="Adobe Gothic Std B" w:hAnsi="Arial" w:cs="Arial"/>
        </w:rPr>
      </w:pPr>
      <w:r w:rsidRPr="00E2146F">
        <w:rPr>
          <w:rFonts w:ascii="Arial" w:hAnsi="Arial" w:cs="Arial"/>
        </w:rPr>
        <w:t xml:space="preserve">Téléchargez </w:t>
      </w:r>
      <w:r w:rsidR="004F79BF" w:rsidRPr="00E2146F">
        <w:rPr>
          <w:rFonts w:ascii="Arial" w:hAnsi="Arial" w:cs="Arial"/>
        </w:rPr>
        <w:t>le document</w:t>
      </w:r>
      <w:r w:rsidRPr="00E2146F">
        <w:rPr>
          <w:rFonts w:ascii="Arial" w:hAnsi="Arial" w:cs="Arial"/>
        </w:rPr>
        <w:t xml:space="preserve"> de travail</w:t>
      </w:r>
      <w:r w:rsidR="00E2146F">
        <w:rPr>
          <w:rFonts w:ascii="Arial" w:hAnsi="Arial" w:cs="Arial"/>
        </w:rPr>
        <w:t xml:space="preserve"> </w:t>
      </w:r>
      <w:r w:rsidRPr="00E2146F">
        <w:rPr>
          <w:rFonts w:ascii="Arial" w:hAnsi="Arial" w:cs="Arial"/>
        </w:rPr>
        <w:t xml:space="preserve">du cours en ligne sur les outils de production de rapports du RCMI à partir de </w:t>
      </w:r>
      <w:hyperlink r:id="rId11" w:history="1">
        <w:r w:rsidRPr="00E2146F">
          <w:rPr>
            <w:rStyle w:val="Hyperlink"/>
            <w:rFonts w:ascii="Arial" w:hAnsi="Arial" w:cs="Arial"/>
          </w:rPr>
          <w:t>la plateforme d’apprentissage sur l’itinérance</w:t>
        </w:r>
      </w:hyperlink>
      <w:r w:rsidRPr="00E2146F">
        <w:rPr>
          <w:rFonts w:ascii="Arial" w:hAnsi="Arial" w:cs="Arial"/>
        </w:rPr>
        <w:t>.</w:t>
      </w:r>
    </w:p>
    <w:p w14:paraId="168EA95D" w14:textId="23963F04" w:rsidR="00D064BE" w:rsidRDefault="00D064BE" w:rsidP="00F47565">
      <w:pPr>
        <w:pStyle w:val="ListParagraph"/>
        <w:numPr>
          <w:ilvl w:val="0"/>
          <w:numId w:val="4"/>
        </w:numPr>
        <w:spacing w:before="120"/>
        <w:rPr>
          <w:rFonts w:ascii="Arial" w:eastAsia="Adobe Gothic Std B" w:hAnsi="Arial" w:cs="Arial"/>
        </w:rPr>
      </w:pPr>
      <w:r>
        <w:rPr>
          <w:rFonts w:ascii="Arial" w:hAnsi="Arial"/>
        </w:rPr>
        <w:t>Examinez quelles sources de données sur l’itinérance pourraient être comparables à la liste (p. ex. données sur le dénombrement ponctuel). Les données devraient représenter toutes les personnes ayant connu l’itinérance, dans la mesure du possible. Un certain nombre de facteurs</w:t>
      </w:r>
      <w:r w:rsidR="00E2146F">
        <w:rPr>
          <w:rFonts w:ascii="Arial" w:hAnsi="Arial"/>
        </w:rPr>
        <w:t xml:space="preserve"> à considérer </w:t>
      </w:r>
      <w:r>
        <w:rPr>
          <w:rFonts w:ascii="Arial" w:hAnsi="Arial"/>
        </w:rPr>
        <w:t>sont décrits ci-dessous :</w:t>
      </w:r>
    </w:p>
    <w:p w14:paraId="69D29ACA" w14:textId="0FBFF4E2" w:rsidR="002F0A60" w:rsidRDefault="00BD208E" w:rsidP="00F40CD7">
      <w:pPr>
        <w:pStyle w:val="ListParagraph"/>
        <w:numPr>
          <w:ilvl w:val="1"/>
          <w:numId w:val="4"/>
        </w:numPr>
        <w:spacing w:before="120"/>
        <w:rPr>
          <w:rFonts w:ascii="Arial" w:eastAsia="Adobe Gothic Std B" w:hAnsi="Arial" w:cs="Arial"/>
        </w:rPr>
      </w:pPr>
      <w:r>
        <w:rPr>
          <w:rFonts w:ascii="Arial" w:hAnsi="Arial"/>
        </w:rPr>
        <w:t xml:space="preserve">Si les données que vous comparez se </w:t>
      </w:r>
      <w:r>
        <w:rPr>
          <w:rFonts w:ascii="Arial" w:hAnsi="Arial"/>
          <w:b/>
          <w:bCs/>
        </w:rPr>
        <w:t>limitent à un certain segment de la population</w:t>
      </w:r>
      <w:r>
        <w:rPr>
          <w:rFonts w:ascii="Arial" w:hAnsi="Arial"/>
        </w:rPr>
        <w:t xml:space="preserve"> (p. ex. seulement les jeunes ou seulement les personnes en situation d’itinérance chronique), elles pourraient être </w:t>
      </w:r>
      <w:r>
        <w:rPr>
          <w:rFonts w:ascii="Arial" w:hAnsi="Arial"/>
          <w:b/>
          <w:bCs/>
        </w:rPr>
        <w:t>moins comparables</w:t>
      </w:r>
      <w:r>
        <w:rPr>
          <w:rFonts w:ascii="Arial" w:hAnsi="Arial"/>
        </w:rPr>
        <w:t xml:space="preserve"> aux sources qui comprennent un éventail plus large de personnes (p. ex. personnes de tout âge et personnes ayant été en situation d’itinérance pendant une courte période).</w:t>
      </w:r>
    </w:p>
    <w:p w14:paraId="0B4A691F" w14:textId="719E9381" w:rsidR="00F40CD7" w:rsidRDefault="00F40CD7" w:rsidP="00F40CD7">
      <w:pPr>
        <w:pStyle w:val="ListParagraph"/>
        <w:numPr>
          <w:ilvl w:val="1"/>
          <w:numId w:val="4"/>
        </w:numPr>
        <w:spacing w:before="120"/>
        <w:rPr>
          <w:rFonts w:ascii="Arial" w:eastAsia="Adobe Gothic Std B" w:hAnsi="Arial" w:cs="Arial"/>
        </w:rPr>
      </w:pPr>
      <w:r>
        <w:rPr>
          <w:rFonts w:ascii="Arial" w:hAnsi="Arial"/>
        </w:rPr>
        <w:t xml:space="preserve">Si les données que vous comparez se </w:t>
      </w:r>
      <w:r>
        <w:rPr>
          <w:rFonts w:ascii="Arial" w:hAnsi="Arial"/>
          <w:b/>
          <w:bCs/>
        </w:rPr>
        <w:t>limitent à un certain type d’itinérance</w:t>
      </w:r>
      <w:r>
        <w:rPr>
          <w:rFonts w:ascii="Arial" w:hAnsi="Arial"/>
        </w:rPr>
        <w:t xml:space="preserve"> (p. ex. seulement l’itinérance </w:t>
      </w:r>
      <w:r w:rsidR="00E2146F">
        <w:rPr>
          <w:rFonts w:ascii="Arial" w:hAnsi="Arial"/>
        </w:rPr>
        <w:t>dans les</w:t>
      </w:r>
      <w:r>
        <w:rPr>
          <w:rFonts w:ascii="Arial" w:hAnsi="Arial"/>
        </w:rPr>
        <w:t xml:space="preserve"> refuge), elles pourraient être </w:t>
      </w:r>
      <w:r>
        <w:rPr>
          <w:rFonts w:ascii="Arial" w:hAnsi="Arial"/>
          <w:b/>
          <w:bCs/>
        </w:rPr>
        <w:t>moins comparables</w:t>
      </w:r>
      <w:r>
        <w:rPr>
          <w:rFonts w:ascii="Arial" w:hAnsi="Arial"/>
        </w:rPr>
        <w:t xml:space="preserve"> aux sources qui comprennent un éventail plus large de types d’itinérance (p. ex. l’itinérance avec ou sans refuge).</w:t>
      </w:r>
    </w:p>
    <w:p w14:paraId="01920CA3" w14:textId="4A0BB0F1" w:rsidR="00F40CD7" w:rsidRPr="00F40CD7" w:rsidRDefault="000C312D" w:rsidP="00F40CD7">
      <w:pPr>
        <w:pStyle w:val="ListParagraph"/>
        <w:numPr>
          <w:ilvl w:val="1"/>
          <w:numId w:val="4"/>
        </w:numPr>
        <w:spacing w:before="120"/>
        <w:rPr>
          <w:rFonts w:ascii="Arial" w:eastAsia="Adobe Gothic Std B" w:hAnsi="Arial" w:cs="Arial"/>
        </w:rPr>
      </w:pPr>
      <w:r>
        <w:rPr>
          <w:rFonts w:ascii="Arial" w:hAnsi="Arial"/>
        </w:rPr>
        <w:t xml:space="preserve">S’il y a des limites quant à la comparaison d’ensembles complets de données, les </w:t>
      </w:r>
      <w:r w:rsidR="004F79BF">
        <w:rPr>
          <w:rFonts w:ascii="Arial" w:hAnsi="Arial"/>
        </w:rPr>
        <w:t>communauté</w:t>
      </w:r>
      <w:r>
        <w:rPr>
          <w:rFonts w:ascii="Arial" w:hAnsi="Arial"/>
        </w:rPr>
        <w:t>s peuvent plutôt comparer des sous-ensembles de données (p. ex. se concentrer sur les données sur l’itinérance avec ou sans abri dans différents rapports).</w:t>
      </w:r>
    </w:p>
    <w:p w14:paraId="31AA71A9" w14:textId="307BAAFC" w:rsidR="00F47565" w:rsidRDefault="00D064BE" w:rsidP="00F47565">
      <w:pPr>
        <w:pStyle w:val="ListParagraph"/>
        <w:numPr>
          <w:ilvl w:val="0"/>
          <w:numId w:val="4"/>
        </w:numPr>
        <w:spacing w:before="120"/>
        <w:rPr>
          <w:rFonts w:ascii="Arial" w:eastAsia="Adobe Gothic Std B" w:hAnsi="Arial" w:cs="Arial"/>
        </w:rPr>
      </w:pPr>
      <w:r>
        <w:rPr>
          <w:rFonts w:ascii="Arial" w:hAnsi="Arial"/>
        </w:rPr>
        <w:t>Recueillez des données (p. ex. exécuter des rapports) pour des périodes identiques (ou très similaires). Les points de données suivants pour l’itinérance sont nécessaires :</w:t>
      </w:r>
    </w:p>
    <w:p w14:paraId="535CC9F3" w14:textId="5538BEE8" w:rsidR="00F47565" w:rsidRPr="007153E8" w:rsidRDefault="00F47565" w:rsidP="007153E8">
      <w:pPr>
        <w:pStyle w:val="ListParagraph"/>
        <w:numPr>
          <w:ilvl w:val="1"/>
          <w:numId w:val="4"/>
        </w:numPr>
        <w:spacing w:before="120"/>
        <w:rPr>
          <w:rFonts w:ascii="Arial" w:eastAsia="Adobe Gothic Std B" w:hAnsi="Arial" w:cs="Arial"/>
        </w:rPr>
      </w:pPr>
      <w:r>
        <w:rPr>
          <w:rFonts w:ascii="Arial" w:hAnsi="Arial"/>
          <w:b/>
        </w:rPr>
        <w:t>Nombre de personnes ou de familles en situation d’itinérance.</w:t>
      </w:r>
      <w:r>
        <w:rPr>
          <w:rFonts w:ascii="Arial" w:hAnsi="Arial"/>
        </w:rPr>
        <w:t xml:space="preserve"> Les données sont davantage comparables si la même unité de mesure est utilisée dans les rapports.</w:t>
      </w:r>
    </w:p>
    <w:p w14:paraId="093C3B79" w14:textId="3C434CC8" w:rsidR="00CF79AF" w:rsidRPr="00992ED4" w:rsidRDefault="007153E8" w:rsidP="00992ED4">
      <w:pPr>
        <w:pStyle w:val="ListParagraph"/>
        <w:numPr>
          <w:ilvl w:val="1"/>
          <w:numId w:val="4"/>
        </w:numPr>
        <w:spacing w:before="120"/>
        <w:rPr>
          <w:rFonts w:ascii="Arial" w:eastAsia="Adobe Gothic Std B" w:hAnsi="Arial" w:cs="Arial"/>
        </w:rPr>
      </w:pPr>
      <w:r>
        <w:rPr>
          <w:rFonts w:ascii="Arial" w:hAnsi="Arial"/>
          <w:b/>
        </w:rPr>
        <w:t>L’endroit où la personne / la famille habitait quan</w:t>
      </w:r>
      <w:r w:rsidR="00E2146F">
        <w:rPr>
          <w:rFonts w:ascii="Arial" w:hAnsi="Arial"/>
          <w:b/>
        </w:rPr>
        <w:t>d</w:t>
      </w:r>
      <w:r>
        <w:rPr>
          <w:rFonts w:ascii="Arial" w:hAnsi="Arial"/>
          <w:b/>
        </w:rPr>
        <w:t xml:space="preserve"> elle était en situation d’itinérance</w:t>
      </w:r>
      <w:r>
        <w:rPr>
          <w:rFonts w:ascii="Arial" w:hAnsi="Arial"/>
        </w:rPr>
        <w:t xml:space="preserve"> (c.-à-d., le « type de logement », ce qui permet de définir le type d’itinérance, soit sans </w:t>
      </w:r>
      <w:r w:rsidR="00E2146F">
        <w:rPr>
          <w:rFonts w:ascii="Arial" w:hAnsi="Arial"/>
        </w:rPr>
        <w:t>abri</w:t>
      </w:r>
      <w:r>
        <w:rPr>
          <w:rFonts w:ascii="Arial" w:hAnsi="Arial"/>
        </w:rPr>
        <w:t xml:space="preserve">, </w:t>
      </w:r>
      <w:r w:rsidR="00E2146F">
        <w:rPr>
          <w:rFonts w:ascii="Arial" w:hAnsi="Arial"/>
        </w:rPr>
        <w:t>dans un</w:t>
      </w:r>
      <w:r>
        <w:rPr>
          <w:rFonts w:ascii="Arial" w:hAnsi="Arial"/>
        </w:rPr>
        <w:t xml:space="preserve"> refuge, transitoire ou </w:t>
      </w:r>
      <w:r>
        <w:rPr>
          <w:rFonts w:ascii="Arial" w:hAnsi="Arial"/>
        </w:rPr>
        <w:lastRenderedPageBreak/>
        <w:t>cachée). Les données sont davantage comparables si des définitions identiques ou similaires sont utilisées pour regrouper les types de logement. Il est recommandé de passer en revue les définitions de « types d’itinérance » dans le cadre de cet exercice pour confirmer qu’elles sont comparables.</w:t>
      </w:r>
    </w:p>
    <w:p w14:paraId="5636B5C6" w14:textId="5D8E379F" w:rsidR="002F0A60" w:rsidRPr="002F0A60" w:rsidRDefault="00CF79AF" w:rsidP="002F0A60">
      <w:pPr>
        <w:pStyle w:val="ListParagraph"/>
        <w:numPr>
          <w:ilvl w:val="1"/>
          <w:numId w:val="4"/>
        </w:numPr>
        <w:spacing w:before="120"/>
        <w:rPr>
          <w:rFonts w:ascii="Arial" w:eastAsia="Adobe Gothic Std B" w:hAnsi="Arial" w:cs="Arial"/>
        </w:rPr>
      </w:pPr>
      <w:r>
        <w:rPr>
          <w:rFonts w:ascii="Arial" w:hAnsi="Arial"/>
          <w:b/>
        </w:rPr>
        <w:t xml:space="preserve">Périodes pour les données </w:t>
      </w:r>
      <w:r>
        <w:rPr>
          <w:rFonts w:ascii="Arial" w:hAnsi="Arial"/>
        </w:rPr>
        <w:t>Les données sont davantage comparables si les périodes pour les résultats sont identiques ou similaires dans les rapports. Il faut inclure les personnes une seule fois dans chaque rapport ou source de données (aucun dédoublement).</w:t>
      </w:r>
    </w:p>
    <w:p w14:paraId="5D2A6A73" w14:textId="77777777" w:rsidR="00B53629" w:rsidRDefault="00B53629" w:rsidP="005E6D8E">
      <w:pPr>
        <w:spacing w:before="120"/>
        <w:rPr>
          <w:rFonts w:ascii="Arial" w:eastAsia="Adobe Gothic Std B" w:hAnsi="Arial" w:cs="Arial"/>
        </w:rPr>
      </w:pPr>
    </w:p>
    <w:p w14:paraId="1CA435A2" w14:textId="7E5E9202" w:rsidR="001F1207" w:rsidRDefault="009D765E" w:rsidP="005E6D8E">
      <w:pPr>
        <w:spacing w:before="120"/>
        <w:rPr>
          <w:rFonts w:ascii="Arial" w:eastAsia="Adobe Gothic Std B" w:hAnsi="Arial" w:cs="Arial"/>
        </w:rPr>
      </w:pPr>
      <w:r>
        <w:rPr>
          <w:rFonts w:ascii="Arial" w:hAnsi="Arial"/>
        </w:rPr>
        <w:t xml:space="preserve">Une fois que </w:t>
      </w:r>
      <w:r w:rsidR="004F79BF">
        <w:rPr>
          <w:rFonts w:ascii="Arial" w:hAnsi="Arial"/>
        </w:rPr>
        <w:t>le document</w:t>
      </w:r>
      <w:r>
        <w:rPr>
          <w:rFonts w:ascii="Arial" w:hAnsi="Arial"/>
        </w:rPr>
        <w:t xml:space="preserve"> de travail est remplie, les </w:t>
      </w:r>
      <w:r w:rsidR="004F79BF">
        <w:rPr>
          <w:rFonts w:ascii="Arial" w:hAnsi="Arial"/>
        </w:rPr>
        <w:t>communauté</w:t>
      </w:r>
      <w:r>
        <w:rPr>
          <w:rFonts w:ascii="Arial" w:hAnsi="Arial"/>
        </w:rPr>
        <w:t xml:space="preserve">s peuvent analyser leurs observations dans le RCMI. Par exemple, les </w:t>
      </w:r>
      <w:r w:rsidR="004F79BF">
        <w:rPr>
          <w:rFonts w:ascii="Arial" w:hAnsi="Arial"/>
        </w:rPr>
        <w:t>communauté</w:t>
      </w:r>
      <w:r>
        <w:rPr>
          <w:rFonts w:ascii="Arial" w:hAnsi="Arial"/>
        </w:rPr>
        <w:t xml:space="preserve">s peuvent prendre en considération les points suivants : </w:t>
      </w:r>
    </w:p>
    <w:p w14:paraId="1B5A1FE5" w14:textId="0C8071B6" w:rsidR="00C25DDC" w:rsidRPr="002E5E78" w:rsidRDefault="009D765E" w:rsidP="001F1207">
      <w:pPr>
        <w:pStyle w:val="ListParagraph"/>
        <w:numPr>
          <w:ilvl w:val="0"/>
          <w:numId w:val="1"/>
        </w:numPr>
        <w:spacing w:before="120"/>
        <w:rPr>
          <w:rFonts w:ascii="Arial" w:eastAsia="Adobe Gothic Std B" w:hAnsi="Arial" w:cs="Arial"/>
          <w:b/>
          <w:bCs/>
        </w:rPr>
      </w:pPr>
      <w:r>
        <w:rPr>
          <w:rFonts w:ascii="Arial" w:hAnsi="Arial"/>
          <w:b/>
        </w:rPr>
        <w:t xml:space="preserve">Comment la liste se compare-t-elle aux autres sources de données qui sont considérées comme exactes ou valides? </w:t>
      </w:r>
    </w:p>
    <w:p w14:paraId="60CF7943" w14:textId="35718AE4" w:rsidR="00C25DDC" w:rsidRDefault="00E56CE4" w:rsidP="00C25DDC">
      <w:pPr>
        <w:pStyle w:val="ListParagraph"/>
        <w:numPr>
          <w:ilvl w:val="1"/>
          <w:numId w:val="1"/>
        </w:numPr>
        <w:spacing w:before="120"/>
        <w:rPr>
          <w:rFonts w:ascii="Arial" w:eastAsia="Adobe Gothic Std B" w:hAnsi="Arial" w:cs="Arial"/>
        </w:rPr>
      </w:pPr>
      <w:r>
        <w:rPr>
          <w:rFonts w:ascii="Arial" w:hAnsi="Arial"/>
        </w:rPr>
        <w:t>Quelles sont les similarités entre les sources de données? Quelle en est l’explication?</w:t>
      </w:r>
    </w:p>
    <w:p w14:paraId="7017441D" w14:textId="5E5611E8" w:rsidR="005E6D8E" w:rsidRDefault="00C25DDC" w:rsidP="00C25DDC">
      <w:pPr>
        <w:pStyle w:val="ListParagraph"/>
        <w:numPr>
          <w:ilvl w:val="1"/>
          <w:numId w:val="1"/>
        </w:numPr>
        <w:spacing w:before="120"/>
        <w:rPr>
          <w:rFonts w:ascii="Arial" w:eastAsia="Adobe Gothic Std B" w:hAnsi="Arial" w:cs="Arial"/>
        </w:rPr>
      </w:pPr>
      <w:r>
        <w:rPr>
          <w:rFonts w:ascii="Arial" w:hAnsi="Arial"/>
        </w:rPr>
        <w:t>Quelles sont les différences entre les sources de données? Quelle en est l’explication?</w:t>
      </w:r>
    </w:p>
    <w:p w14:paraId="6BA870A5" w14:textId="4C0F92D2" w:rsidR="001F1207" w:rsidRPr="002E5E78" w:rsidRDefault="001F1207" w:rsidP="001F1207">
      <w:pPr>
        <w:pStyle w:val="ListParagraph"/>
        <w:numPr>
          <w:ilvl w:val="0"/>
          <w:numId w:val="1"/>
        </w:numPr>
        <w:rPr>
          <w:rFonts w:ascii="Arial" w:hAnsi="Arial" w:cs="Arial"/>
          <w:b/>
          <w:bCs/>
        </w:rPr>
      </w:pPr>
      <w:r>
        <w:rPr>
          <w:rFonts w:ascii="Arial" w:hAnsi="Arial"/>
          <w:b/>
        </w:rPr>
        <w:t>Après avoir comparé les données de la liste aux autres sources de données, la liste vous semble-t-elle exhaustive?</w:t>
      </w:r>
    </w:p>
    <w:p w14:paraId="3D17B586" w14:textId="3B046EC4" w:rsidR="00C25DDC" w:rsidRPr="002A4EFE" w:rsidRDefault="00C25DDC" w:rsidP="002A4EFE">
      <w:pPr>
        <w:pStyle w:val="ListParagraph"/>
        <w:numPr>
          <w:ilvl w:val="1"/>
          <w:numId w:val="1"/>
        </w:numPr>
        <w:rPr>
          <w:rFonts w:ascii="Arial" w:hAnsi="Arial" w:cs="Arial"/>
        </w:rPr>
      </w:pPr>
      <w:r>
        <w:rPr>
          <w:rFonts w:ascii="Arial" w:hAnsi="Arial"/>
        </w:rPr>
        <w:t xml:space="preserve">Si le nombre ou les proportions de personnes en situation d’itinérance (un ou plusieurs types, soit sans </w:t>
      </w:r>
      <w:r w:rsidR="00E2146F">
        <w:rPr>
          <w:rFonts w:ascii="Arial" w:hAnsi="Arial"/>
        </w:rPr>
        <w:t>abri</w:t>
      </w:r>
      <w:r>
        <w:rPr>
          <w:rFonts w:ascii="Arial" w:hAnsi="Arial"/>
        </w:rPr>
        <w:t xml:space="preserve">, </w:t>
      </w:r>
      <w:r w:rsidR="00E2146F">
        <w:rPr>
          <w:rFonts w:ascii="Arial" w:hAnsi="Arial"/>
        </w:rPr>
        <w:t>dans un</w:t>
      </w:r>
      <w:r>
        <w:rPr>
          <w:rFonts w:ascii="Arial" w:hAnsi="Arial"/>
        </w:rPr>
        <w:t xml:space="preserve"> refuge, transitoire ou cachée) sont inférieurs dans la liste, cela veut-il dire qu’il lui manque des personnes? Pourquoi ou pourquoi pas?</w:t>
      </w:r>
    </w:p>
    <w:p w14:paraId="7B0828D1" w14:textId="65EA030C" w:rsidR="00935E16" w:rsidRPr="002E5E78" w:rsidRDefault="00935E16" w:rsidP="00935E16">
      <w:pPr>
        <w:pStyle w:val="ListParagraph"/>
        <w:numPr>
          <w:ilvl w:val="0"/>
          <w:numId w:val="1"/>
        </w:numPr>
        <w:rPr>
          <w:rFonts w:ascii="Arial" w:hAnsi="Arial" w:cs="Arial"/>
          <w:b/>
          <w:bCs/>
        </w:rPr>
      </w:pPr>
      <w:r>
        <w:rPr>
          <w:rFonts w:ascii="Arial" w:hAnsi="Arial"/>
          <w:b/>
        </w:rPr>
        <w:t>Comment pourrait-on améliorer la liste de manière à en améliorer l’exhaustivité et l’exactitude des données?</w:t>
      </w:r>
    </w:p>
    <w:p w14:paraId="031A28F0" w14:textId="366A0E33" w:rsidR="00935E16" w:rsidRDefault="00935E16" w:rsidP="00935E16">
      <w:pPr>
        <w:pStyle w:val="ListParagraph"/>
        <w:numPr>
          <w:ilvl w:val="1"/>
          <w:numId w:val="1"/>
        </w:numPr>
        <w:rPr>
          <w:rFonts w:ascii="Arial" w:hAnsi="Arial" w:cs="Arial"/>
        </w:rPr>
      </w:pPr>
      <w:r>
        <w:rPr>
          <w:rFonts w:ascii="Arial" w:hAnsi="Arial"/>
        </w:rPr>
        <w:t xml:space="preserve">Existe-t-il un fournisseur ou un partenaire qui pourrait faire en sorte que toutes les personnes en situation d’itinérance sont incluses dans la liste, dans la mesure du possible? De qui pourrait-il s’agir? </w:t>
      </w:r>
    </w:p>
    <w:p w14:paraId="1DAF83E2" w14:textId="74D213A5" w:rsidR="00B53629" w:rsidRDefault="00B53629" w:rsidP="00B53629">
      <w:pPr>
        <w:rPr>
          <w:rFonts w:ascii="Arial" w:hAnsi="Arial" w:cs="Arial"/>
        </w:rPr>
      </w:pPr>
    </w:p>
    <w:p w14:paraId="72833B81" w14:textId="77777777" w:rsidR="00B53629" w:rsidRDefault="00B53629" w:rsidP="00B53629">
      <w:pPr>
        <w:rPr>
          <w:rFonts w:ascii="Arial" w:hAnsi="Arial" w:cs="Arial"/>
          <w:b/>
          <w:bCs/>
        </w:rPr>
      </w:pPr>
    </w:p>
    <w:p w14:paraId="4781BF31" w14:textId="77777777" w:rsidR="009F74C1" w:rsidRDefault="009F74C1">
      <w:pPr>
        <w:spacing w:after="160" w:line="259" w:lineRule="auto"/>
        <w:rPr>
          <w:rFonts w:ascii="Arial" w:hAnsi="Arial" w:cs="Arial"/>
          <w:b/>
          <w:bCs/>
          <w:sz w:val="28"/>
          <w:szCs w:val="28"/>
        </w:rPr>
      </w:pPr>
      <w:r>
        <w:br w:type="page"/>
      </w:r>
    </w:p>
    <w:p w14:paraId="3A489767" w14:textId="1D39B8F9" w:rsidR="00B53629" w:rsidRPr="00B53629" w:rsidRDefault="009F74C1" w:rsidP="00B53629">
      <w:pPr>
        <w:jc w:val="center"/>
        <w:rPr>
          <w:rFonts w:ascii="Arial" w:hAnsi="Arial" w:cs="Arial"/>
          <w:b/>
          <w:bCs/>
          <w:sz w:val="28"/>
          <w:szCs w:val="28"/>
        </w:rPr>
      </w:pPr>
      <w:r>
        <w:rPr>
          <w:rFonts w:ascii="Arial" w:hAnsi="Arial"/>
          <w:b/>
          <w:sz w:val="28"/>
        </w:rPr>
        <w:lastRenderedPageBreak/>
        <w:t xml:space="preserve">Annexe A : </w:t>
      </w:r>
      <w:r w:rsidR="004F79BF">
        <w:rPr>
          <w:rFonts w:ascii="Arial" w:hAnsi="Arial"/>
          <w:b/>
          <w:sz w:val="28"/>
        </w:rPr>
        <w:t>Le document</w:t>
      </w:r>
      <w:r>
        <w:rPr>
          <w:rFonts w:ascii="Arial" w:hAnsi="Arial"/>
          <w:b/>
          <w:sz w:val="28"/>
        </w:rPr>
        <w:t xml:space="preserve"> de travail</w:t>
      </w:r>
    </w:p>
    <w:p w14:paraId="5A26FAB7" w14:textId="77777777" w:rsidR="005E6D8E" w:rsidRDefault="005E6D8E" w:rsidP="0032436A">
      <w:pPr>
        <w:rPr>
          <w:rFonts w:ascii="Arial" w:hAnsi="Arial" w:cs="Arial"/>
          <w:b/>
          <w:bCs/>
        </w:rPr>
      </w:pPr>
    </w:p>
    <w:tbl>
      <w:tblPr>
        <w:tblStyle w:val="TableGrid"/>
        <w:tblW w:w="13050" w:type="dxa"/>
        <w:tblInd w:w="-5" w:type="dxa"/>
        <w:tblLayout w:type="fixed"/>
        <w:tblLook w:val="04A0" w:firstRow="1" w:lastRow="0" w:firstColumn="1" w:lastColumn="0" w:noHBand="0" w:noVBand="1"/>
      </w:tblPr>
      <w:tblGrid>
        <w:gridCol w:w="4680"/>
        <w:gridCol w:w="1170"/>
        <w:gridCol w:w="1710"/>
        <w:gridCol w:w="1530"/>
        <w:gridCol w:w="1620"/>
        <w:gridCol w:w="1170"/>
        <w:gridCol w:w="1170"/>
      </w:tblGrid>
      <w:tr w:rsidR="00C25DDC" w:rsidRPr="00C25DDC" w14:paraId="7CABC194" w14:textId="77777777" w:rsidTr="00093495">
        <w:tc>
          <w:tcPr>
            <w:tcW w:w="4680" w:type="dxa"/>
            <w:vMerge w:val="restart"/>
            <w:shd w:val="clear" w:color="auto" w:fill="000000" w:themeFill="text1"/>
            <w:vAlign w:val="center"/>
          </w:tcPr>
          <w:p w14:paraId="32833171" w14:textId="0E6EB99B" w:rsidR="00C25DDC" w:rsidRPr="00C25DDC" w:rsidRDefault="00C25DDC" w:rsidP="00B5374D">
            <w:pPr>
              <w:jc w:val="center"/>
              <w:rPr>
                <w:rFonts w:ascii="Arial" w:hAnsi="Arial" w:cs="Arial"/>
                <w:b/>
                <w:bCs/>
              </w:rPr>
            </w:pPr>
            <w:r>
              <w:rPr>
                <w:rFonts w:ascii="Arial" w:hAnsi="Arial"/>
                <w:b/>
              </w:rPr>
              <w:t>Source des données</w:t>
            </w:r>
            <w:r w:rsidR="00B5374D">
              <w:rPr>
                <w:rFonts w:ascii="Arial" w:hAnsi="Arial"/>
                <w:b/>
              </w:rPr>
              <w:t xml:space="preserve"> </w:t>
            </w:r>
            <w:r w:rsidR="00B5374D">
              <w:rPr>
                <w:rFonts w:ascii="Arial" w:hAnsi="Arial"/>
                <w:b/>
              </w:rPr>
              <w:br/>
              <w:t>au n</w:t>
            </w:r>
            <w:r w:rsidR="00B5374D">
              <w:rPr>
                <w:rFonts w:ascii="Arial" w:hAnsi="Arial"/>
                <w:b/>
              </w:rPr>
              <w:t xml:space="preserve">iveau communautaire </w:t>
            </w:r>
          </w:p>
        </w:tc>
        <w:tc>
          <w:tcPr>
            <w:tcW w:w="1170" w:type="dxa"/>
            <w:vMerge w:val="restart"/>
            <w:shd w:val="clear" w:color="auto" w:fill="000000" w:themeFill="text1"/>
            <w:vAlign w:val="center"/>
          </w:tcPr>
          <w:p w14:paraId="6E0C98BC" w14:textId="2BFD2C6C" w:rsidR="00C25DDC" w:rsidRPr="00C25DDC" w:rsidRDefault="00C25DDC" w:rsidP="001F1207">
            <w:pPr>
              <w:jc w:val="center"/>
              <w:rPr>
                <w:rFonts w:ascii="Arial" w:hAnsi="Arial" w:cs="Arial"/>
                <w:b/>
                <w:bCs/>
              </w:rPr>
            </w:pPr>
            <w:r>
              <w:rPr>
                <w:rFonts w:ascii="Arial" w:hAnsi="Arial"/>
                <w:b/>
              </w:rPr>
              <w:t>Période</w:t>
            </w:r>
          </w:p>
        </w:tc>
        <w:tc>
          <w:tcPr>
            <w:tcW w:w="6030" w:type="dxa"/>
            <w:gridSpan w:val="4"/>
            <w:shd w:val="clear" w:color="auto" w:fill="000000" w:themeFill="text1"/>
            <w:vAlign w:val="center"/>
          </w:tcPr>
          <w:p w14:paraId="134C41BC" w14:textId="108419C5" w:rsidR="00C25DDC" w:rsidRPr="00C25DDC" w:rsidRDefault="00C25DDC" w:rsidP="001F1207">
            <w:pPr>
              <w:jc w:val="center"/>
              <w:rPr>
                <w:rFonts w:ascii="Arial" w:hAnsi="Arial" w:cs="Arial"/>
                <w:b/>
                <w:bCs/>
              </w:rPr>
            </w:pPr>
            <w:r>
              <w:rPr>
                <w:rFonts w:ascii="Arial" w:hAnsi="Arial"/>
                <w:b/>
              </w:rPr>
              <w:t>Type d’itinérance (exemples seulement)</w:t>
            </w:r>
          </w:p>
        </w:tc>
        <w:tc>
          <w:tcPr>
            <w:tcW w:w="1170" w:type="dxa"/>
            <w:vMerge w:val="restart"/>
            <w:shd w:val="clear" w:color="auto" w:fill="000000" w:themeFill="text1"/>
            <w:vAlign w:val="center"/>
          </w:tcPr>
          <w:p w14:paraId="6F82816A" w14:textId="38B91B04" w:rsidR="00C25DDC" w:rsidRPr="00C25DDC" w:rsidRDefault="00C25DDC" w:rsidP="001F1207">
            <w:pPr>
              <w:jc w:val="center"/>
              <w:rPr>
                <w:rFonts w:ascii="Arial" w:hAnsi="Arial" w:cs="Arial"/>
                <w:b/>
                <w:bCs/>
              </w:rPr>
            </w:pPr>
            <w:r>
              <w:rPr>
                <w:rFonts w:ascii="Arial" w:hAnsi="Arial"/>
                <w:b/>
              </w:rPr>
              <w:t>Total</w:t>
            </w:r>
          </w:p>
        </w:tc>
      </w:tr>
      <w:tr w:rsidR="00093495" w:rsidRPr="00C25DDC" w14:paraId="203FFF6A" w14:textId="77777777" w:rsidTr="00093495">
        <w:tc>
          <w:tcPr>
            <w:tcW w:w="4680" w:type="dxa"/>
            <w:vMerge/>
            <w:shd w:val="clear" w:color="auto" w:fill="808080" w:themeFill="background1" w:themeFillShade="80"/>
            <w:vAlign w:val="center"/>
          </w:tcPr>
          <w:p w14:paraId="27476F5F" w14:textId="68356CF0" w:rsidR="00C25DDC" w:rsidRPr="00C25DDC" w:rsidRDefault="00C25DDC" w:rsidP="001F1207">
            <w:pPr>
              <w:jc w:val="center"/>
              <w:rPr>
                <w:rFonts w:ascii="Arial" w:hAnsi="Arial" w:cs="Arial"/>
                <w:b/>
                <w:bCs/>
              </w:rPr>
            </w:pPr>
          </w:p>
        </w:tc>
        <w:tc>
          <w:tcPr>
            <w:tcW w:w="1170" w:type="dxa"/>
            <w:vMerge/>
            <w:shd w:val="clear" w:color="auto" w:fill="808080" w:themeFill="background1" w:themeFillShade="80"/>
            <w:vAlign w:val="center"/>
          </w:tcPr>
          <w:p w14:paraId="7A88592A" w14:textId="3FE414C2" w:rsidR="00C25DDC" w:rsidRPr="00C25DDC" w:rsidRDefault="00C25DDC" w:rsidP="001F1207">
            <w:pPr>
              <w:jc w:val="center"/>
              <w:rPr>
                <w:rFonts w:ascii="Arial" w:hAnsi="Arial" w:cs="Arial"/>
                <w:b/>
                <w:bCs/>
              </w:rPr>
            </w:pPr>
          </w:p>
        </w:tc>
        <w:tc>
          <w:tcPr>
            <w:tcW w:w="1710" w:type="dxa"/>
            <w:shd w:val="clear" w:color="auto" w:fill="000000" w:themeFill="text1"/>
            <w:vAlign w:val="center"/>
          </w:tcPr>
          <w:p w14:paraId="5BD18F4D" w14:textId="487A0634" w:rsidR="00C25DDC" w:rsidRPr="00C25DDC" w:rsidRDefault="00C25DDC" w:rsidP="001F1207">
            <w:pPr>
              <w:jc w:val="center"/>
              <w:rPr>
                <w:rFonts w:ascii="Arial" w:hAnsi="Arial" w:cs="Arial"/>
                <w:b/>
                <w:bCs/>
              </w:rPr>
            </w:pPr>
            <w:r>
              <w:rPr>
                <w:rFonts w:ascii="Arial" w:hAnsi="Arial"/>
                <w:b/>
              </w:rPr>
              <w:t xml:space="preserve">Sans </w:t>
            </w:r>
            <w:r w:rsidR="00B5374D">
              <w:rPr>
                <w:rFonts w:ascii="Arial" w:hAnsi="Arial"/>
                <w:b/>
              </w:rPr>
              <w:t>abri</w:t>
            </w:r>
            <w:r>
              <w:rPr>
                <w:rFonts w:ascii="Arial" w:hAnsi="Arial"/>
                <w:b/>
              </w:rPr>
              <w:t xml:space="preserve"> </w:t>
            </w:r>
          </w:p>
        </w:tc>
        <w:tc>
          <w:tcPr>
            <w:tcW w:w="1530" w:type="dxa"/>
            <w:shd w:val="clear" w:color="auto" w:fill="000000" w:themeFill="text1"/>
            <w:vAlign w:val="center"/>
          </w:tcPr>
          <w:p w14:paraId="11735E4F" w14:textId="098DA088" w:rsidR="00C25DDC" w:rsidRPr="00C25DDC" w:rsidRDefault="00B5374D" w:rsidP="001F1207">
            <w:pPr>
              <w:jc w:val="center"/>
              <w:rPr>
                <w:rFonts w:ascii="Arial" w:hAnsi="Arial" w:cs="Arial"/>
                <w:b/>
                <w:bCs/>
              </w:rPr>
            </w:pPr>
            <w:r>
              <w:rPr>
                <w:rFonts w:ascii="Arial" w:hAnsi="Arial"/>
                <w:b/>
              </w:rPr>
              <w:t>Dans un</w:t>
            </w:r>
            <w:r w:rsidR="00C25DDC">
              <w:rPr>
                <w:rFonts w:ascii="Arial" w:hAnsi="Arial"/>
                <w:b/>
              </w:rPr>
              <w:t xml:space="preserve"> refuge </w:t>
            </w:r>
          </w:p>
        </w:tc>
        <w:tc>
          <w:tcPr>
            <w:tcW w:w="1620" w:type="dxa"/>
            <w:shd w:val="clear" w:color="auto" w:fill="000000" w:themeFill="text1"/>
            <w:vAlign w:val="center"/>
          </w:tcPr>
          <w:p w14:paraId="11F5AE4E" w14:textId="4537C929" w:rsidR="00C25DDC" w:rsidRPr="00C25DDC" w:rsidRDefault="00C25DDC" w:rsidP="001F1207">
            <w:pPr>
              <w:jc w:val="center"/>
              <w:rPr>
                <w:rFonts w:ascii="Arial" w:hAnsi="Arial" w:cs="Arial"/>
                <w:b/>
                <w:bCs/>
              </w:rPr>
            </w:pPr>
            <w:r>
              <w:rPr>
                <w:rFonts w:ascii="Arial" w:hAnsi="Arial"/>
                <w:b/>
              </w:rPr>
              <w:t xml:space="preserve">Transitoire </w:t>
            </w:r>
          </w:p>
        </w:tc>
        <w:tc>
          <w:tcPr>
            <w:tcW w:w="1170" w:type="dxa"/>
            <w:shd w:val="clear" w:color="auto" w:fill="000000" w:themeFill="text1"/>
            <w:vAlign w:val="center"/>
          </w:tcPr>
          <w:p w14:paraId="192CA341" w14:textId="082D0BAE" w:rsidR="00C25DDC" w:rsidRPr="00C25DDC" w:rsidRDefault="00C25DDC" w:rsidP="001F1207">
            <w:pPr>
              <w:jc w:val="center"/>
              <w:rPr>
                <w:rFonts w:ascii="Arial" w:hAnsi="Arial" w:cs="Arial"/>
                <w:b/>
                <w:bCs/>
              </w:rPr>
            </w:pPr>
            <w:r>
              <w:rPr>
                <w:rFonts w:ascii="Arial" w:hAnsi="Arial"/>
                <w:b/>
              </w:rPr>
              <w:t xml:space="preserve">Cachée </w:t>
            </w:r>
          </w:p>
        </w:tc>
        <w:tc>
          <w:tcPr>
            <w:tcW w:w="1170" w:type="dxa"/>
            <w:vMerge/>
            <w:shd w:val="clear" w:color="auto" w:fill="808080" w:themeFill="background1" w:themeFillShade="80"/>
            <w:vAlign w:val="center"/>
          </w:tcPr>
          <w:p w14:paraId="607FC1F0" w14:textId="54E0375F" w:rsidR="00C25DDC" w:rsidRPr="00C25DDC" w:rsidRDefault="00C25DDC" w:rsidP="001F1207">
            <w:pPr>
              <w:jc w:val="center"/>
              <w:rPr>
                <w:rFonts w:ascii="Arial" w:hAnsi="Arial" w:cs="Arial"/>
                <w:b/>
                <w:bCs/>
              </w:rPr>
            </w:pPr>
          </w:p>
        </w:tc>
      </w:tr>
      <w:tr w:rsidR="00781234" w:rsidRPr="001F1207" w14:paraId="54B49FEC" w14:textId="77777777" w:rsidTr="00093495">
        <w:trPr>
          <w:trHeight w:val="395"/>
        </w:trPr>
        <w:tc>
          <w:tcPr>
            <w:tcW w:w="4680" w:type="dxa"/>
            <w:shd w:val="clear" w:color="auto" w:fill="D0CECE" w:themeFill="background2" w:themeFillShade="E6"/>
            <w:vAlign w:val="center"/>
          </w:tcPr>
          <w:p w14:paraId="52363636" w14:textId="2AEAA764" w:rsidR="0032436A" w:rsidRPr="001F1207" w:rsidRDefault="001F1207" w:rsidP="00556379">
            <w:pPr>
              <w:rPr>
                <w:rFonts w:ascii="Arial" w:hAnsi="Arial" w:cs="Arial"/>
              </w:rPr>
            </w:pPr>
            <w:r>
              <w:rPr>
                <w:rFonts w:ascii="Arial" w:hAnsi="Arial"/>
              </w:rPr>
              <w:t>Liste d’identificateurs uniques</w:t>
            </w:r>
          </w:p>
        </w:tc>
        <w:tc>
          <w:tcPr>
            <w:tcW w:w="1170" w:type="dxa"/>
            <w:shd w:val="clear" w:color="auto" w:fill="D0CECE" w:themeFill="background2" w:themeFillShade="E6"/>
            <w:vAlign w:val="center"/>
          </w:tcPr>
          <w:p w14:paraId="04CA9202" w14:textId="24256861" w:rsidR="0032436A" w:rsidRPr="001F1207" w:rsidRDefault="001930ED" w:rsidP="001F1207">
            <w:pPr>
              <w:jc w:val="center"/>
              <w:rPr>
                <w:rFonts w:ascii="Arial" w:hAnsi="Arial" w:cs="Arial"/>
              </w:rPr>
            </w:pPr>
            <w:proofErr w:type="spellStart"/>
            <w:r>
              <w:rPr>
                <w:rFonts w:ascii="Arial" w:hAnsi="Arial"/>
              </w:rPr>
              <w:t>S.o</w:t>
            </w:r>
            <w:proofErr w:type="spellEnd"/>
            <w:r>
              <w:rPr>
                <w:rFonts w:ascii="Arial" w:hAnsi="Arial"/>
              </w:rPr>
              <w:t>.</w:t>
            </w:r>
          </w:p>
        </w:tc>
        <w:tc>
          <w:tcPr>
            <w:tcW w:w="1710" w:type="dxa"/>
            <w:shd w:val="clear" w:color="auto" w:fill="D0CECE" w:themeFill="background2" w:themeFillShade="E6"/>
            <w:vAlign w:val="center"/>
          </w:tcPr>
          <w:p w14:paraId="6A5008C7"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530" w:type="dxa"/>
            <w:shd w:val="clear" w:color="auto" w:fill="D0CECE" w:themeFill="background2" w:themeFillShade="E6"/>
            <w:vAlign w:val="center"/>
          </w:tcPr>
          <w:p w14:paraId="1B6DA106"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620" w:type="dxa"/>
            <w:shd w:val="clear" w:color="auto" w:fill="D0CECE" w:themeFill="background2" w:themeFillShade="E6"/>
            <w:vAlign w:val="center"/>
          </w:tcPr>
          <w:p w14:paraId="57C717C7"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170" w:type="dxa"/>
            <w:shd w:val="clear" w:color="auto" w:fill="D0CECE" w:themeFill="background2" w:themeFillShade="E6"/>
            <w:vAlign w:val="center"/>
          </w:tcPr>
          <w:p w14:paraId="0BE81AC4"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170" w:type="dxa"/>
            <w:shd w:val="clear" w:color="auto" w:fill="D0CECE" w:themeFill="background2" w:themeFillShade="E6"/>
            <w:vAlign w:val="center"/>
          </w:tcPr>
          <w:p w14:paraId="62579323" w14:textId="3FFF924D" w:rsidR="0032436A" w:rsidRPr="001F1207" w:rsidRDefault="00D064BE" w:rsidP="001F1207">
            <w:pPr>
              <w:jc w:val="center"/>
              <w:rPr>
                <w:rFonts w:ascii="Arial" w:hAnsi="Arial" w:cs="Arial"/>
              </w:rPr>
            </w:pPr>
            <w:r>
              <w:rPr>
                <w:rFonts w:ascii="Arial" w:hAnsi="Arial"/>
              </w:rPr>
              <w:t>N</w:t>
            </w:r>
            <w:r>
              <w:rPr>
                <w:rFonts w:ascii="Arial" w:hAnsi="Arial"/>
                <w:vertAlign w:val="superscript"/>
              </w:rPr>
              <w:t>o</w:t>
            </w:r>
          </w:p>
        </w:tc>
      </w:tr>
      <w:tr w:rsidR="00E56CE4" w:rsidRPr="001F1207" w14:paraId="7ABCF431" w14:textId="77777777" w:rsidTr="00093495">
        <w:tc>
          <w:tcPr>
            <w:tcW w:w="4680" w:type="dxa"/>
            <w:vAlign w:val="center"/>
          </w:tcPr>
          <w:p w14:paraId="0DA3987D" w14:textId="6CE844F1" w:rsidR="00E56CE4" w:rsidRDefault="00D064BE" w:rsidP="00556379">
            <w:pPr>
              <w:rPr>
                <w:rFonts w:ascii="Arial" w:hAnsi="Arial" w:cs="Arial"/>
              </w:rPr>
            </w:pPr>
            <w:r>
              <w:rPr>
                <w:rFonts w:ascii="Arial" w:hAnsi="Arial"/>
                <w:b/>
              </w:rPr>
              <w:t>Exemple :</w:t>
            </w:r>
            <w:r>
              <w:rPr>
                <w:rFonts w:ascii="Arial" w:hAnsi="Arial"/>
              </w:rPr>
              <w:t xml:space="preserve"> Liste d’identificateurs uniques du SISA (fondé sur les dossiers historiques de logement actuel) </w:t>
            </w:r>
          </w:p>
        </w:tc>
        <w:tc>
          <w:tcPr>
            <w:tcW w:w="1170" w:type="dxa"/>
            <w:vAlign w:val="center"/>
          </w:tcPr>
          <w:p w14:paraId="581D9F04" w14:textId="69086B89" w:rsidR="00E56CE4" w:rsidRPr="001F1207" w:rsidRDefault="00D064BE" w:rsidP="001F1207">
            <w:pPr>
              <w:jc w:val="center"/>
              <w:rPr>
                <w:rFonts w:ascii="Arial" w:hAnsi="Arial" w:cs="Arial"/>
              </w:rPr>
            </w:pPr>
            <w:r>
              <w:rPr>
                <w:rFonts w:ascii="Arial" w:hAnsi="Arial"/>
              </w:rPr>
              <w:t>Dates</w:t>
            </w:r>
          </w:p>
        </w:tc>
        <w:tc>
          <w:tcPr>
            <w:tcW w:w="1710" w:type="dxa"/>
            <w:vAlign w:val="center"/>
          </w:tcPr>
          <w:p w14:paraId="036A51B8" w14:textId="4C06D13C" w:rsidR="00E56CE4" w:rsidRPr="001F1207" w:rsidRDefault="00D064BE" w:rsidP="001F1207">
            <w:pPr>
              <w:jc w:val="center"/>
              <w:rPr>
                <w:rFonts w:ascii="Arial" w:hAnsi="Arial" w:cs="Arial"/>
              </w:rPr>
            </w:pPr>
            <w:r>
              <w:rPr>
                <w:rFonts w:ascii="Arial" w:hAnsi="Arial"/>
              </w:rPr>
              <w:t>N</w:t>
            </w:r>
            <w:r>
              <w:rPr>
                <w:rFonts w:ascii="Arial" w:hAnsi="Arial"/>
                <w:vertAlign w:val="superscript"/>
              </w:rPr>
              <w:t>o</w:t>
            </w:r>
          </w:p>
        </w:tc>
        <w:tc>
          <w:tcPr>
            <w:tcW w:w="1530" w:type="dxa"/>
            <w:vAlign w:val="center"/>
          </w:tcPr>
          <w:p w14:paraId="20CDBD96" w14:textId="77E56883" w:rsidR="00E56CE4" w:rsidRPr="001F1207" w:rsidRDefault="00D064BE" w:rsidP="001F1207">
            <w:pPr>
              <w:jc w:val="center"/>
              <w:rPr>
                <w:rFonts w:ascii="Arial" w:hAnsi="Arial" w:cs="Arial"/>
              </w:rPr>
            </w:pPr>
            <w:r>
              <w:rPr>
                <w:rFonts w:ascii="Arial" w:hAnsi="Arial"/>
              </w:rPr>
              <w:t>N</w:t>
            </w:r>
            <w:r>
              <w:rPr>
                <w:rFonts w:ascii="Arial" w:hAnsi="Arial"/>
                <w:vertAlign w:val="superscript"/>
              </w:rPr>
              <w:t>o</w:t>
            </w:r>
          </w:p>
        </w:tc>
        <w:tc>
          <w:tcPr>
            <w:tcW w:w="1620" w:type="dxa"/>
            <w:vAlign w:val="center"/>
          </w:tcPr>
          <w:p w14:paraId="0FEEF0BF" w14:textId="36E75EC7" w:rsidR="00E56CE4" w:rsidRPr="001F1207" w:rsidRDefault="00D064BE"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5C968D47" w14:textId="652BD56D" w:rsidR="00E56CE4" w:rsidRPr="001F1207" w:rsidRDefault="00D064BE"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16B6B7FC" w14:textId="6C420C59" w:rsidR="00E56CE4" w:rsidRPr="001F1207" w:rsidRDefault="00D064BE" w:rsidP="001F1207">
            <w:pPr>
              <w:jc w:val="center"/>
              <w:rPr>
                <w:rFonts w:ascii="Arial" w:hAnsi="Arial" w:cs="Arial"/>
              </w:rPr>
            </w:pPr>
            <w:r>
              <w:rPr>
                <w:rFonts w:ascii="Arial" w:hAnsi="Arial"/>
              </w:rPr>
              <w:t>N</w:t>
            </w:r>
            <w:r>
              <w:rPr>
                <w:rFonts w:ascii="Arial" w:hAnsi="Arial"/>
                <w:vertAlign w:val="superscript"/>
              </w:rPr>
              <w:t>o</w:t>
            </w:r>
          </w:p>
        </w:tc>
      </w:tr>
      <w:tr w:rsidR="00E56CE4" w:rsidRPr="001F1207" w14:paraId="26509565" w14:textId="77777777" w:rsidTr="00093495">
        <w:tc>
          <w:tcPr>
            <w:tcW w:w="4680" w:type="dxa"/>
            <w:vAlign w:val="center"/>
          </w:tcPr>
          <w:p w14:paraId="30680464" w14:textId="4C88D93C" w:rsidR="0032436A" w:rsidRPr="001F1207" w:rsidRDefault="00D064BE" w:rsidP="00556379">
            <w:pPr>
              <w:rPr>
                <w:rFonts w:ascii="Arial" w:hAnsi="Arial" w:cs="Arial"/>
              </w:rPr>
            </w:pPr>
            <w:r>
              <w:rPr>
                <w:rFonts w:ascii="Arial" w:hAnsi="Arial"/>
                <w:b/>
              </w:rPr>
              <w:t>Exemple :</w:t>
            </w:r>
            <w:r>
              <w:rPr>
                <w:rFonts w:ascii="Arial" w:hAnsi="Arial"/>
              </w:rPr>
              <w:t xml:space="preserve"> Dernier dénombrement ponctuel</w:t>
            </w:r>
          </w:p>
        </w:tc>
        <w:tc>
          <w:tcPr>
            <w:tcW w:w="1170" w:type="dxa"/>
            <w:vAlign w:val="center"/>
          </w:tcPr>
          <w:p w14:paraId="217D3A22" w14:textId="333E4510" w:rsidR="0032436A" w:rsidRPr="001F1207" w:rsidRDefault="00D064BE" w:rsidP="001F1207">
            <w:pPr>
              <w:jc w:val="center"/>
              <w:rPr>
                <w:rFonts w:ascii="Arial" w:hAnsi="Arial" w:cs="Arial"/>
              </w:rPr>
            </w:pPr>
            <w:r>
              <w:rPr>
                <w:rFonts w:ascii="Arial" w:hAnsi="Arial"/>
              </w:rPr>
              <w:t>Dates</w:t>
            </w:r>
          </w:p>
        </w:tc>
        <w:tc>
          <w:tcPr>
            <w:tcW w:w="1710" w:type="dxa"/>
            <w:vAlign w:val="center"/>
          </w:tcPr>
          <w:p w14:paraId="5C2C00F8"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530" w:type="dxa"/>
            <w:vAlign w:val="center"/>
          </w:tcPr>
          <w:p w14:paraId="1F2E0309"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620" w:type="dxa"/>
            <w:vAlign w:val="center"/>
          </w:tcPr>
          <w:p w14:paraId="43373B0C"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38E11FD7"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2F8F44D6" w14:textId="77777777" w:rsidR="0032436A" w:rsidRPr="001F1207" w:rsidRDefault="0032436A" w:rsidP="001F1207">
            <w:pPr>
              <w:jc w:val="center"/>
              <w:rPr>
                <w:rFonts w:ascii="Arial" w:hAnsi="Arial" w:cs="Arial"/>
              </w:rPr>
            </w:pPr>
            <w:r>
              <w:rPr>
                <w:rFonts w:ascii="Arial" w:hAnsi="Arial"/>
              </w:rPr>
              <w:t>N</w:t>
            </w:r>
            <w:r>
              <w:rPr>
                <w:rFonts w:ascii="Arial" w:hAnsi="Arial"/>
                <w:vertAlign w:val="superscript"/>
              </w:rPr>
              <w:t>o</w:t>
            </w:r>
          </w:p>
        </w:tc>
      </w:tr>
      <w:tr w:rsidR="00941B87" w:rsidRPr="001F1207" w14:paraId="5F6BF8EE" w14:textId="77777777" w:rsidTr="00093495">
        <w:tc>
          <w:tcPr>
            <w:tcW w:w="4680" w:type="dxa"/>
            <w:vAlign w:val="center"/>
          </w:tcPr>
          <w:p w14:paraId="2971267D" w14:textId="7C05822A" w:rsidR="001F1207" w:rsidRDefault="00D064BE" w:rsidP="00556379">
            <w:pPr>
              <w:rPr>
                <w:rFonts w:ascii="Arial" w:hAnsi="Arial" w:cs="Arial"/>
              </w:rPr>
            </w:pPr>
            <w:r>
              <w:rPr>
                <w:rFonts w:ascii="Arial" w:hAnsi="Arial"/>
                <w:b/>
              </w:rPr>
              <w:t>Exemple :</w:t>
            </w:r>
            <w:r>
              <w:rPr>
                <w:rFonts w:ascii="Arial" w:hAnsi="Arial"/>
              </w:rPr>
              <w:t xml:space="preserve"> Données sur la sensibilisation dans la rue</w:t>
            </w:r>
          </w:p>
        </w:tc>
        <w:tc>
          <w:tcPr>
            <w:tcW w:w="1170" w:type="dxa"/>
            <w:vAlign w:val="center"/>
          </w:tcPr>
          <w:p w14:paraId="74DE5383" w14:textId="5F892EBF" w:rsidR="001F1207" w:rsidRPr="001F1207" w:rsidRDefault="00D064BE" w:rsidP="001F1207">
            <w:pPr>
              <w:jc w:val="center"/>
              <w:rPr>
                <w:rFonts w:ascii="Arial" w:hAnsi="Arial" w:cs="Arial"/>
              </w:rPr>
            </w:pPr>
            <w:r>
              <w:rPr>
                <w:rFonts w:ascii="Arial" w:hAnsi="Arial"/>
              </w:rPr>
              <w:t>Dates</w:t>
            </w:r>
          </w:p>
        </w:tc>
        <w:tc>
          <w:tcPr>
            <w:tcW w:w="1710" w:type="dxa"/>
            <w:vAlign w:val="center"/>
          </w:tcPr>
          <w:p w14:paraId="1036BB15" w14:textId="4A22071D" w:rsidR="001F1207" w:rsidRPr="001F1207" w:rsidRDefault="001930ED" w:rsidP="001F1207">
            <w:pPr>
              <w:jc w:val="center"/>
              <w:rPr>
                <w:rFonts w:ascii="Arial" w:hAnsi="Arial" w:cs="Arial"/>
              </w:rPr>
            </w:pPr>
            <w:r>
              <w:rPr>
                <w:rFonts w:ascii="Arial" w:hAnsi="Arial"/>
              </w:rPr>
              <w:t>N</w:t>
            </w:r>
            <w:r>
              <w:rPr>
                <w:rFonts w:ascii="Arial" w:hAnsi="Arial"/>
                <w:vertAlign w:val="superscript"/>
              </w:rPr>
              <w:t>o</w:t>
            </w:r>
          </w:p>
        </w:tc>
        <w:tc>
          <w:tcPr>
            <w:tcW w:w="1530" w:type="dxa"/>
            <w:vAlign w:val="center"/>
          </w:tcPr>
          <w:p w14:paraId="1EB3DD16" w14:textId="065E6DC0" w:rsidR="001F1207" w:rsidRPr="001F1207" w:rsidRDefault="001F1207" w:rsidP="001F1207">
            <w:pPr>
              <w:jc w:val="center"/>
              <w:rPr>
                <w:rFonts w:ascii="Arial" w:hAnsi="Arial" w:cs="Arial"/>
              </w:rPr>
            </w:pPr>
            <w:proofErr w:type="spellStart"/>
            <w:r>
              <w:rPr>
                <w:rFonts w:ascii="Arial" w:hAnsi="Arial"/>
              </w:rPr>
              <w:t>S.o</w:t>
            </w:r>
            <w:proofErr w:type="spellEnd"/>
            <w:r>
              <w:rPr>
                <w:rFonts w:ascii="Arial" w:hAnsi="Arial"/>
              </w:rPr>
              <w:t>.</w:t>
            </w:r>
          </w:p>
        </w:tc>
        <w:tc>
          <w:tcPr>
            <w:tcW w:w="1620" w:type="dxa"/>
            <w:vAlign w:val="center"/>
          </w:tcPr>
          <w:p w14:paraId="75356144" w14:textId="1677AE04" w:rsidR="001F1207" w:rsidRPr="001F1207" w:rsidRDefault="001930ED"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1BE16A76" w14:textId="085B9810" w:rsidR="001F1207" w:rsidRPr="001F1207" w:rsidRDefault="001930ED" w:rsidP="001F1207">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31BDF4FA" w14:textId="3CE551AA" w:rsidR="001F1207" w:rsidRPr="001F1207" w:rsidRDefault="001930ED" w:rsidP="001F1207">
            <w:pPr>
              <w:jc w:val="center"/>
              <w:rPr>
                <w:rFonts w:ascii="Arial" w:hAnsi="Arial" w:cs="Arial"/>
              </w:rPr>
            </w:pPr>
            <w:r>
              <w:rPr>
                <w:rFonts w:ascii="Arial" w:hAnsi="Arial"/>
              </w:rPr>
              <w:t>N</w:t>
            </w:r>
            <w:r>
              <w:rPr>
                <w:rFonts w:ascii="Arial" w:hAnsi="Arial"/>
                <w:vertAlign w:val="superscript"/>
              </w:rPr>
              <w:t>o</w:t>
            </w:r>
          </w:p>
        </w:tc>
      </w:tr>
      <w:tr w:rsidR="00E56CE4" w:rsidRPr="001F1207" w14:paraId="6A3E0788" w14:textId="77777777" w:rsidTr="00093495">
        <w:tc>
          <w:tcPr>
            <w:tcW w:w="4680" w:type="dxa"/>
            <w:vAlign w:val="center"/>
          </w:tcPr>
          <w:p w14:paraId="7C7FFA63" w14:textId="3902C297" w:rsidR="0032436A" w:rsidRPr="001F1207" w:rsidRDefault="00D064BE" w:rsidP="00556379">
            <w:pPr>
              <w:rPr>
                <w:rFonts w:ascii="Arial" w:hAnsi="Arial" w:cs="Arial"/>
              </w:rPr>
            </w:pPr>
            <w:r>
              <w:rPr>
                <w:rFonts w:ascii="Arial" w:hAnsi="Arial"/>
                <w:b/>
              </w:rPr>
              <w:t>Exemple :</w:t>
            </w:r>
            <w:r>
              <w:rPr>
                <w:rFonts w:ascii="Arial" w:hAnsi="Arial"/>
              </w:rPr>
              <w:t xml:space="preserve"> Données sur les refuges</w:t>
            </w:r>
          </w:p>
        </w:tc>
        <w:tc>
          <w:tcPr>
            <w:tcW w:w="1170" w:type="dxa"/>
            <w:vAlign w:val="center"/>
          </w:tcPr>
          <w:p w14:paraId="54B598BB" w14:textId="41EC1A83" w:rsidR="0032436A" w:rsidRPr="001F1207" w:rsidRDefault="00D064BE" w:rsidP="001F1207">
            <w:pPr>
              <w:jc w:val="center"/>
              <w:rPr>
                <w:rFonts w:ascii="Arial" w:hAnsi="Arial" w:cs="Arial"/>
              </w:rPr>
            </w:pPr>
            <w:r>
              <w:rPr>
                <w:rFonts w:ascii="Arial" w:hAnsi="Arial"/>
              </w:rPr>
              <w:t>Dates</w:t>
            </w:r>
          </w:p>
        </w:tc>
        <w:tc>
          <w:tcPr>
            <w:tcW w:w="1710" w:type="dxa"/>
            <w:vAlign w:val="center"/>
          </w:tcPr>
          <w:p w14:paraId="55B12602" w14:textId="4C3BC7F3" w:rsidR="0032436A" w:rsidRPr="001F1207" w:rsidRDefault="001F1207" w:rsidP="001F1207">
            <w:pPr>
              <w:jc w:val="center"/>
              <w:rPr>
                <w:rFonts w:ascii="Arial" w:hAnsi="Arial" w:cs="Arial"/>
              </w:rPr>
            </w:pPr>
            <w:proofErr w:type="spellStart"/>
            <w:r>
              <w:rPr>
                <w:rFonts w:ascii="Arial" w:hAnsi="Arial"/>
              </w:rPr>
              <w:t>S.o</w:t>
            </w:r>
            <w:proofErr w:type="spellEnd"/>
            <w:r>
              <w:rPr>
                <w:rFonts w:ascii="Arial" w:hAnsi="Arial"/>
              </w:rPr>
              <w:t>.</w:t>
            </w:r>
          </w:p>
        </w:tc>
        <w:tc>
          <w:tcPr>
            <w:tcW w:w="1530" w:type="dxa"/>
            <w:vAlign w:val="center"/>
          </w:tcPr>
          <w:p w14:paraId="080C0009" w14:textId="4261FE24" w:rsidR="0032436A" w:rsidRPr="001F1207" w:rsidRDefault="001F1207" w:rsidP="001F1207">
            <w:pPr>
              <w:jc w:val="center"/>
              <w:rPr>
                <w:rFonts w:ascii="Arial" w:hAnsi="Arial" w:cs="Arial"/>
              </w:rPr>
            </w:pPr>
            <w:r>
              <w:rPr>
                <w:rFonts w:ascii="Arial" w:hAnsi="Arial"/>
              </w:rPr>
              <w:t>N</w:t>
            </w:r>
            <w:r>
              <w:rPr>
                <w:rFonts w:ascii="Arial" w:hAnsi="Arial"/>
                <w:vertAlign w:val="superscript"/>
              </w:rPr>
              <w:t>o</w:t>
            </w:r>
          </w:p>
        </w:tc>
        <w:tc>
          <w:tcPr>
            <w:tcW w:w="1620" w:type="dxa"/>
            <w:vAlign w:val="center"/>
          </w:tcPr>
          <w:p w14:paraId="4F69FC8F" w14:textId="69AF75D9" w:rsidR="0032436A" w:rsidRPr="001F1207" w:rsidRDefault="001F1207" w:rsidP="001F1207">
            <w:pPr>
              <w:jc w:val="center"/>
              <w:rPr>
                <w:rFonts w:ascii="Arial" w:hAnsi="Arial" w:cs="Arial"/>
              </w:rPr>
            </w:pPr>
            <w:proofErr w:type="spellStart"/>
            <w:r>
              <w:rPr>
                <w:rFonts w:ascii="Arial" w:hAnsi="Arial"/>
              </w:rPr>
              <w:t>S.o</w:t>
            </w:r>
            <w:proofErr w:type="spellEnd"/>
            <w:r>
              <w:rPr>
                <w:rFonts w:ascii="Arial" w:hAnsi="Arial"/>
              </w:rPr>
              <w:t>.</w:t>
            </w:r>
          </w:p>
        </w:tc>
        <w:tc>
          <w:tcPr>
            <w:tcW w:w="1170" w:type="dxa"/>
            <w:vAlign w:val="center"/>
          </w:tcPr>
          <w:p w14:paraId="300AE8FF" w14:textId="73E1924A" w:rsidR="0032436A" w:rsidRPr="001F1207" w:rsidRDefault="001F1207" w:rsidP="001F1207">
            <w:pPr>
              <w:jc w:val="center"/>
              <w:rPr>
                <w:rFonts w:ascii="Arial" w:hAnsi="Arial" w:cs="Arial"/>
              </w:rPr>
            </w:pPr>
            <w:proofErr w:type="spellStart"/>
            <w:r>
              <w:rPr>
                <w:rFonts w:ascii="Arial" w:hAnsi="Arial"/>
              </w:rPr>
              <w:t>S.o</w:t>
            </w:r>
            <w:proofErr w:type="spellEnd"/>
            <w:r>
              <w:rPr>
                <w:rFonts w:ascii="Arial" w:hAnsi="Arial"/>
              </w:rPr>
              <w:t>.</w:t>
            </w:r>
          </w:p>
        </w:tc>
        <w:tc>
          <w:tcPr>
            <w:tcW w:w="1170" w:type="dxa"/>
            <w:vAlign w:val="center"/>
          </w:tcPr>
          <w:p w14:paraId="2D993975" w14:textId="76ECB415" w:rsidR="0032436A" w:rsidRPr="001F1207" w:rsidRDefault="001F1207" w:rsidP="001F1207">
            <w:pPr>
              <w:jc w:val="center"/>
              <w:rPr>
                <w:rFonts w:ascii="Arial" w:hAnsi="Arial" w:cs="Arial"/>
              </w:rPr>
            </w:pPr>
            <w:r>
              <w:rPr>
                <w:rFonts w:ascii="Arial" w:hAnsi="Arial"/>
              </w:rPr>
              <w:t>N</w:t>
            </w:r>
            <w:r>
              <w:rPr>
                <w:rFonts w:ascii="Arial" w:hAnsi="Arial"/>
                <w:vertAlign w:val="superscript"/>
              </w:rPr>
              <w:t>o</w:t>
            </w:r>
          </w:p>
        </w:tc>
      </w:tr>
      <w:tr w:rsidR="00294EFE" w:rsidRPr="001F1207" w14:paraId="1055064D" w14:textId="77777777" w:rsidTr="00093495">
        <w:tc>
          <w:tcPr>
            <w:tcW w:w="4680" w:type="dxa"/>
            <w:vAlign w:val="center"/>
          </w:tcPr>
          <w:p w14:paraId="778D92E3" w14:textId="6AEA7A46" w:rsidR="00294EFE" w:rsidRPr="00D064BE" w:rsidRDefault="00294EFE" w:rsidP="00294EFE">
            <w:pPr>
              <w:rPr>
                <w:rFonts w:ascii="Arial" w:hAnsi="Arial" w:cs="Arial"/>
                <w:b/>
                <w:bCs/>
              </w:rPr>
            </w:pPr>
            <w:r>
              <w:rPr>
                <w:rFonts w:ascii="Arial" w:hAnsi="Arial"/>
                <w:b/>
              </w:rPr>
              <w:t xml:space="preserve">Autre : </w:t>
            </w:r>
          </w:p>
        </w:tc>
        <w:tc>
          <w:tcPr>
            <w:tcW w:w="1170" w:type="dxa"/>
            <w:vAlign w:val="center"/>
          </w:tcPr>
          <w:p w14:paraId="0D48FC03" w14:textId="70D8C3DA" w:rsidR="00294EFE" w:rsidRDefault="00294EFE" w:rsidP="00294EFE">
            <w:pPr>
              <w:jc w:val="center"/>
              <w:rPr>
                <w:rFonts w:ascii="Arial" w:hAnsi="Arial" w:cs="Arial"/>
              </w:rPr>
            </w:pPr>
            <w:r>
              <w:rPr>
                <w:rFonts w:ascii="Arial" w:hAnsi="Arial"/>
              </w:rPr>
              <w:t>Dates</w:t>
            </w:r>
          </w:p>
        </w:tc>
        <w:tc>
          <w:tcPr>
            <w:tcW w:w="1710" w:type="dxa"/>
            <w:vAlign w:val="center"/>
          </w:tcPr>
          <w:p w14:paraId="43F8C825" w14:textId="46DE6E3E"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530" w:type="dxa"/>
            <w:vAlign w:val="center"/>
          </w:tcPr>
          <w:p w14:paraId="3A23111A" w14:textId="5E3817AA"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620" w:type="dxa"/>
            <w:vAlign w:val="center"/>
          </w:tcPr>
          <w:p w14:paraId="6E53EE3B" w14:textId="28F0B81D"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24E73AD5" w14:textId="35D404D5"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55C8B859" w14:textId="21CA201E" w:rsidR="00294EFE" w:rsidRDefault="00294EFE" w:rsidP="00294EFE">
            <w:pPr>
              <w:jc w:val="center"/>
              <w:rPr>
                <w:rFonts w:ascii="Arial" w:hAnsi="Arial" w:cs="Arial"/>
              </w:rPr>
            </w:pPr>
            <w:r>
              <w:rPr>
                <w:rFonts w:ascii="Arial" w:hAnsi="Arial"/>
              </w:rPr>
              <w:t>N</w:t>
            </w:r>
            <w:r>
              <w:rPr>
                <w:rFonts w:ascii="Arial" w:hAnsi="Arial"/>
                <w:vertAlign w:val="superscript"/>
              </w:rPr>
              <w:t>o</w:t>
            </w:r>
          </w:p>
        </w:tc>
      </w:tr>
      <w:tr w:rsidR="00294EFE" w:rsidRPr="001F1207" w14:paraId="356CAECC" w14:textId="77777777" w:rsidTr="00093495">
        <w:tc>
          <w:tcPr>
            <w:tcW w:w="4680" w:type="dxa"/>
            <w:vAlign w:val="center"/>
          </w:tcPr>
          <w:p w14:paraId="18C267F7" w14:textId="1DF74728" w:rsidR="00294EFE" w:rsidRDefault="00294EFE" w:rsidP="00294EFE">
            <w:pPr>
              <w:rPr>
                <w:rFonts w:ascii="Arial" w:hAnsi="Arial" w:cs="Arial"/>
                <w:b/>
                <w:bCs/>
              </w:rPr>
            </w:pPr>
            <w:r>
              <w:rPr>
                <w:rFonts w:ascii="Arial" w:hAnsi="Arial"/>
                <w:b/>
              </w:rPr>
              <w:t xml:space="preserve">Autre : </w:t>
            </w:r>
          </w:p>
        </w:tc>
        <w:tc>
          <w:tcPr>
            <w:tcW w:w="1170" w:type="dxa"/>
            <w:vAlign w:val="center"/>
          </w:tcPr>
          <w:p w14:paraId="751B359C" w14:textId="1C81C6AF" w:rsidR="00294EFE" w:rsidRDefault="00294EFE" w:rsidP="00294EFE">
            <w:pPr>
              <w:jc w:val="center"/>
              <w:rPr>
                <w:rFonts w:ascii="Arial" w:hAnsi="Arial" w:cs="Arial"/>
              </w:rPr>
            </w:pPr>
            <w:r>
              <w:rPr>
                <w:rFonts w:ascii="Arial" w:hAnsi="Arial"/>
              </w:rPr>
              <w:t>Dates</w:t>
            </w:r>
          </w:p>
        </w:tc>
        <w:tc>
          <w:tcPr>
            <w:tcW w:w="1710" w:type="dxa"/>
            <w:vAlign w:val="center"/>
          </w:tcPr>
          <w:p w14:paraId="2FE49B6F" w14:textId="39AFD97A"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530" w:type="dxa"/>
            <w:vAlign w:val="center"/>
          </w:tcPr>
          <w:p w14:paraId="702BAB3E" w14:textId="2A36F61D"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620" w:type="dxa"/>
            <w:vAlign w:val="center"/>
          </w:tcPr>
          <w:p w14:paraId="56555305" w14:textId="198C7361"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225EDD6E" w14:textId="3C331699" w:rsidR="00294EFE" w:rsidRDefault="00294EFE" w:rsidP="00294EFE">
            <w:pPr>
              <w:jc w:val="center"/>
              <w:rPr>
                <w:rFonts w:ascii="Arial" w:hAnsi="Arial" w:cs="Arial"/>
              </w:rPr>
            </w:pPr>
            <w:r>
              <w:rPr>
                <w:rFonts w:ascii="Arial" w:hAnsi="Arial"/>
              </w:rPr>
              <w:t>N</w:t>
            </w:r>
            <w:r>
              <w:rPr>
                <w:rFonts w:ascii="Arial" w:hAnsi="Arial"/>
                <w:vertAlign w:val="superscript"/>
              </w:rPr>
              <w:t>o</w:t>
            </w:r>
          </w:p>
        </w:tc>
        <w:tc>
          <w:tcPr>
            <w:tcW w:w="1170" w:type="dxa"/>
            <w:vAlign w:val="center"/>
          </w:tcPr>
          <w:p w14:paraId="2C618D0B" w14:textId="0EF6B491" w:rsidR="00294EFE" w:rsidRDefault="00294EFE" w:rsidP="00294EFE">
            <w:pPr>
              <w:jc w:val="center"/>
              <w:rPr>
                <w:rFonts w:ascii="Arial" w:hAnsi="Arial" w:cs="Arial"/>
              </w:rPr>
            </w:pPr>
            <w:r>
              <w:rPr>
                <w:rFonts w:ascii="Arial" w:hAnsi="Arial"/>
              </w:rPr>
              <w:t>N</w:t>
            </w:r>
            <w:r>
              <w:rPr>
                <w:rFonts w:ascii="Arial" w:hAnsi="Arial"/>
                <w:vertAlign w:val="superscript"/>
              </w:rPr>
              <w:t>o</w:t>
            </w:r>
          </w:p>
        </w:tc>
      </w:tr>
    </w:tbl>
    <w:p w14:paraId="78EA7254" w14:textId="77777777" w:rsidR="0032436A" w:rsidRPr="00D01670" w:rsidRDefault="0032436A" w:rsidP="0032436A">
      <w:pPr>
        <w:ind w:left="720" w:hanging="720"/>
        <w:rPr>
          <w:rFonts w:ascii="Arial" w:hAnsi="Arial" w:cs="Arial"/>
        </w:rPr>
      </w:pPr>
    </w:p>
    <w:p w14:paraId="3FA0B140" w14:textId="2161CE9D" w:rsidR="00941B87" w:rsidRPr="00095686" w:rsidRDefault="00941B87">
      <w:pPr>
        <w:rPr>
          <w:rFonts w:ascii="Arial" w:hAnsi="Arial" w:cs="Arial"/>
          <w:b/>
          <w:bCs/>
        </w:rPr>
      </w:pPr>
      <w:r>
        <w:rPr>
          <w:rFonts w:ascii="Arial" w:hAnsi="Arial"/>
          <w:b/>
        </w:rPr>
        <w:t>Remarques :</w:t>
      </w:r>
    </w:p>
    <w:p w14:paraId="40401D06" w14:textId="65B8F35F" w:rsidR="00941B87" w:rsidRDefault="00941B87" w:rsidP="00941B87">
      <w:pPr>
        <w:pStyle w:val="ListParagraph"/>
        <w:numPr>
          <w:ilvl w:val="0"/>
          <w:numId w:val="2"/>
        </w:numPr>
        <w:rPr>
          <w:rFonts w:ascii="Arial" w:hAnsi="Arial" w:cs="Arial"/>
        </w:rPr>
      </w:pPr>
      <w:r>
        <w:rPr>
          <w:rFonts w:ascii="Arial" w:hAnsi="Arial"/>
        </w:rPr>
        <w:t>Pour la liste, les données donneraient un aperçu d’un moment précis dans le temps, idéalement quand la liste est à jour.</w:t>
      </w:r>
    </w:p>
    <w:p w14:paraId="75A7DB85" w14:textId="4D6A7E2A" w:rsidR="00BD58F6" w:rsidRPr="00D064BE" w:rsidRDefault="00935E16" w:rsidP="00935E16">
      <w:pPr>
        <w:pStyle w:val="ListParagraph"/>
        <w:numPr>
          <w:ilvl w:val="0"/>
          <w:numId w:val="3"/>
        </w:numPr>
        <w:rPr>
          <w:rFonts w:ascii="Arial" w:hAnsi="Arial" w:cs="Arial"/>
        </w:rPr>
      </w:pPr>
      <w:r>
        <w:rPr>
          <w:rFonts w:ascii="Arial" w:hAnsi="Arial"/>
        </w:rPr>
        <w:t>Pour la liste d’identificateurs uniques du SISA, les personnes sont incluses si elles ont explicitement donné leur consentement, au moins.</w:t>
      </w:r>
    </w:p>
    <w:sectPr w:rsidR="00BD58F6" w:rsidRPr="00D064BE" w:rsidSect="001F1207">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74F9" w14:textId="77777777" w:rsidR="00F36762" w:rsidRDefault="00F36762" w:rsidP="0032436A">
      <w:r>
        <w:separator/>
      </w:r>
    </w:p>
  </w:endnote>
  <w:endnote w:type="continuationSeparator" w:id="0">
    <w:p w14:paraId="5D2CDF24" w14:textId="77777777" w:rsidR="00F36762" w:rsidRDefault="00F36762" w:rsidP="0032436A">
      <w:r>
        <w:continuationSeparator/>
      </w:r>
    </w:p>
  </w:endnote>
  <w:endnote w:type="continuationNotice" w:id="1">
    <w:p w14:paraId="504181C6" w14:textId="77777777" w:rsidR="00F36762" w:rsidRDefault="00F3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F92" w14:textId="25AB9A6A" w:rsidR="00B53629" w:rsidRPr="00B53629" w:rsidRDefault="00B53629" w:rsidP="00B53629">
    <w:pPr>
      <w:pStyle w:val="Footer"/>
      <w:jc w:val="right"/>
      <w:rPr>
        <w:rFonts w:ascii="Arial" w:hAnsi="Arial" w:cs="Arial"/>
      </w:rPr>
    </w:pPr>
    <w:r w:rsidRPr="00B53629">
      <w:rPr>
        <w:rFonts w:ascii="Arial" w:hAnsi="Arial" w:cs="Arial"/>
      </w:rPr>
      <w:fldChar w:fldCharType="begin"/>
    </w:r>
    <w:r w:rsidRPr="00B53629">
      <w:rPr>
        <w:rFonts w:ascii="Arial" w:hAnsi="Arial" w:cs="Arial"/>
      </w:rPr>
      <w:instrText xml:space="preserve"> PAGE   \* MERGEFORMAT </w:instrText>
    </w:r>
    <w:r w:rsidRPr="00B53629">
      <w:rPr>
        <w:rFonts w:ascii="Arial" w:hAnsi="Arial" w:cs="Arial"/>
      </w:rPr>
      <w:fldChar w:fldCharType="separate"/>
    </w:r>
    <w:r w:rsidRPr="00B53629">
      <w:rPr>
        <w:rFonts w:ascii="Arial" w:hAnsi="Arial" w:cs="Arial"/>
      </w:rPr>
      <w:t>1</w:t>
    </w:r>
    <w:r w:rsidRPr="00B5362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FE72" w14:textId="77777777" w:rsidR="00F36762" w:rsidRDefault="00F36762" w:rsidP="0032436A">
      <w:r>
        <w:separator/>
      </w:r>
    </w:p>
  </w:footnote>
  <w:footnote w:type="continuationSeparator" w:id="0">
    <w:p w14:paraId="42E0D160" w14:textId="77777777" w:rsidR="00F36762" w:rsidRDefault="00F36762" w:rsidP="0032436A">
      <w:r>
        <w:continuationSeparator/>
      </w:r>
    </w:p>
  </w:footnote>
  <w:footnote w:type="continuationNotice" w:id="1">
    <w:p w14:paraId="6C94EE54" w14:textId="77777777" w:rsidR="00F36762" w:rsidRDefault="00F36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459B"/>
    <w:multiLevelType w:val="hybridMultilevel"/>
    <w:tmpl w:val="FD16D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A93A55"/>
    <w:multiLevelType w:val="hybridMultilevel"/>
    <w:tmpl w:val="3B323E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C05676"/>
    <w:multiLevelType w:val="hybridMultilevel"/>
    <w:tmpl w:val="2E4C8F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6A564FD"/>
    <w:multiLevelType w:val="hybridMultilevel"/>
    <w:tmpl w:val="162A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6A"/>
    <w:rsid w:val="0000502C"/>
    <w:rsid w:val="000173F7"/>
    <w:rsid w:val="00023A0D"/>
    <w:rsid w:val="0006245A"/>
    <w:rsid w:val="000676BD"/>
    <w:rsid w:val="0008508E"/>
    <w:rsid w:val="00093495"/>
    <w:rsid w:val="00095686"/>
    <w:rsid w:val="000A769B"/>
    <w:rsid w:val="000C312D"/>
    <w:rsid w:val="000C4F9D"/>
    <w:rsid w:val="00120451"/>
    <w:rsid w:val="00137136"/>
    <w:rsid w:val="00153862"/>
    <w:rsid w:val="00153E17"/>
    <w:rsid w:val="00180F3C"/>
    <w:rsid w:val="00192698"/>
    <w:rsid w:val="001930ED"/>
    <w:rsid w:val="00195C51"/>
    <w:rsid w:val="001A1834"/>
    <w:rsid w:val="001C4C45"/>
    <w:rsid w:val="001F1207"/>
    <w:rsid w:val="001F4E77"/>
    <w:rsid w:val="00211844"/>
    <w:rsid w:val="00216177"/>
    <w:rsid w:val="002201ED"/>
    <w:rsid w:val="0023195D"/>
    <w:rsid w:val="002605F2"/>
    <w:rsid w:val="00263C4D"/>
    <w:rsid w:val="0027368D"/>
    <w:rsid w:val="00290836"/>
    <w:rsid w:val="00294EFE"/>
    <w:rsid w:val="002A4EFE"/>
    <w:rsid w:val="002E5E78"/>
    <w:rsid w:val="002F0A60"/>
    <w:rsid w:val="00317605"/>
    <w:rsid w:val="00322892"/>
    <w:rsid w:val="0032436A"/>
    <w:rsid w:val="003E36E6"/>
    <w:rsid w:val="003E4EAF"/>
    <w:rsid w:val="003F6EDA"/>
    <w:rsid w:val="00430A2C"/>
    <w:rsid w:val="004457AC"/>
    <w:rsid w:val="00466655"/>
    <w:rsid w:val="004B66FE"/>
    <w:rsid w:val="004F79BF"/>
    <w:rsid w:val="0054110D"/>
    <w:rsid w:val="00556379"/>
    <w:rsid w:val="00591A42"/>
    <w:rsid w:val="005E6D8E"/>
    <w:rsid w:val="00602286"/>
    <w:rsid w:val="00602F1E"/>
    <w:rsid w:val="00606125"/>
    <w:rsid w:val="00613C88"/>
    <w:rsid w:val="00625580"/>
    <w:rsid w:val="00666F0A"/>
    <w:rsid w:val="006913FB"/>
    <w:rsid w:val="006919B5"/>
    <w:rsid w:val="00694815"/>
    <w:rsid w:val="006C0366"/>
    <w:rsid w:val="006C63E4"/>
    <w:rsid w:val="006F76E7"/>
    <w:rsid w:val="00701DDB"/>
    <w:rsid w:val="007153E8"/>
    <w:rsid w:val="00781234"/>
    <w:rsid w:val="00795DCD"/>
    <w:rsid w:val="007A1B21"/>
    <w:rsid w:val="007A7033"/>
    <w:rsid w:val="007B05C1"/>
    <w:rsid w:val="007E7341"/>
    <w:rsid w:val="007E7D1A"/>
    <w:rsid w:val="007F024B"/>
    <w:rsid w:val="00843E3F"/>
    <w:rsid w:val="008563E7"/>
    <w:rsid w:val="00860D24"/>
    <w:rsid w:val="008B7E4C"/>
    <w:rsid w:val="00935E16"/>
    <w:rsid w:val="00941B87"/>
    <w:rsid w:val="00957110"/>
    <w:rsid w:val="00963D7D"/>
    <w:rsid w:val="00992ED4"/>
    <w:rsid w:val="009B5F3F"/>
    <w:rsid w:val="009D049B"/>
    <w:rsid w:val="009D23B7"/>
    <w:rsid w:val="009D765E"/>
    <w:rsid w:val="009F74C1"/>
    <w:rsid w:val="009F7868"/>
    <w:rsid w:val="00A124A6"/>
    <w:rsid w:val="00A13907"/>
    <w:rsid w:val="00A2199F"/>
    <w:rsid w:val="00A26F91"/>
    <w:rsid w:val="00A540D9"/>
    <w:rsid w:val="00A75DF7"/>
    <w:rsid w:val="00A81E72"/>
    <w:rsid w:val="00B12A6A"/>
    <w:rsid w:val="00B16FEA"/>
    <w:rsid w:val="00B53629"/>
    <w:rsid w:val="00B5374D"/>
    <w:rsid w:val="00B6710A"/>
    <w:rsid w:val="00B755B6"/>
    <w:rsid w:val="00BB3E41"/>
    <w:rsid w:val="00BD208E"/>
    <w:rsid w:val="00BD58F6"/>
    <w:rsid w:val="00BE1139"/>
    <w:rsid w:val="00BE1CE3"/>
    <w:rsid w:val="00C040E6"/>
    <w:rsid w:val="00C118CC"/>
    <w:rsid w:val="00C1715D"/>
    <w:rsid w:val="00C25DDC"/>
    <w:rsid w:val="00C40DCC"/>
    <w:rsid w:val="00C44089"/>
    <w:rsid w:val="00C60EB0"/>
    <w:rsid w:val="00C658FD"/>
    <w:rsid w:val="00C85A77"/>
    <w:rsid w:val="00CA23A0"/>
    <w:rsid w:val="00CA47CE"/>
    <w:rsid w:val="00CC54A8"/>
    <w:rsid w:val="00CE6E96"/>
    <w:rsid w:val="00CF4C22"/>
    <w:rsid w:val="00CF79AF"/>
    <w:rsid w:val="00D01670"/>
    <w:rsid w:val="00D064BE"/>
    <w:rsid w:val="00D104A1"/>
    <w:rsid w:val="00D1399C"/>
    <w:rsid w:val="00D40454"/>
    <w:rsid w:val="00D40F28"/>
    <w:rsid w:val="00D72AA8"/>
    <w:rsid w:val="00D927E4"/>
    <w:rsid w:val="00E07316"/>
    <w:rsid w:val="00E2146F"/>
    <w:rsid w:val="00E56CE4"/>
    <w:rsid w:val="00E730C2"/>
    <w:rsid w:val="00E82D60"/>
    <w:rsid w:val="00E82FFF"/>
    <w:rsid w:val="00E90C16"/>
    <w:rsid w:val="00E979A9"/>
    <w:rsid w:val="00EA5154"/>
    <w:rsid w:val="00EA554C"/>
    <w:rsid w:val="00F01DFC"/>
    <w:rsid w:val="00F11558"/>
    <w:rsid w:val="00F36762"/>
    <w:rsid w:val="00F37D47"/>
    <w:rsid w:val="00F40CD7"/>
    <w:rsid w:val="00F47565"/>
    <w:rsid w:val="00F877E0"/>
    <w:rsid w:val="00FB065C"/>
    <w:rsid w:val="00FB2B4F"/>
    <w:rsid w:val="00FE44F0"/>
    <w:rsid w:val="00FF12D9"/>
    <w:rsid w:val="00FF42D3"/>
    <w:rsid w:val="00FF58F8"/>
    <w:rsid w:val="0EB437A9"/>
    <w:rsid w:val="465A3C69"/>
    <w:rsid w:val="4F1AF227"/>
    <w:rsid w:val="5B1A6A41"/>
    <w:rsid w:val="66D7FAFE"/>
    <w:rsid w:val="6DC744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F6D0C"/>
  <w15:chartTrackingRefBased/>
  <w15:docId w15:val="{E83F6638-D18E-4142-A0CA-160B400A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6A"/>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36A"/>
    <w:rPr>
      <w:sz w:val="16"/>
      <w:szCs w:val="16"/>
    </w:rPr>
  </w:style>
  <w:style w:type="paragraph" w:styleId="CommentText">
    <w:name w:val="annotation text"/>
    <w:basedOn w:val="Normal"/>
    <w:link w:val="CommentTextChar"/>
    <w:uiPriority w:val="99"/>
    <w:unhideWhenUsed/>
    <w:rsid w:val="0032436A"/>
    <w:rPr>
      <w:sz w:val="20"/>
      <w:szCs w:val="20"/>
    </w:rPr>
  </w:style>
  <w:style w:type="character" w:customStyle="1" w:styleId="CommentTextChar">
    <w:name w:val="Comment Text Char"/>
    <w:basedOn w:val="DefaultParagraphFont"/>
    <w:link w:val="CommentText"/>
    <w:uiPriority w:val="99"/>
    <w:rsid w:val="0032436A"/>
    <w:rPr>
      <w:sz w:val="20"/>
      <w:szCs w:val="20"/>
      <w:lang w:val="fr-CA"/>
    </w:rPr>
  </w:style>
  <w:style w:type="paragraph" w:styleId="ListParagraph">
    <w:name w:val="List Paragraph"/>
    <w:basedOn w:val="Normal"/>
    <w:uiPriority w:val="34"/>
    <w:qFormat/>
    <w:rsid w:val="001F1207"/>
    <w:pPr>
      <w:ind w:left="720"/>
      <w:contextualSpacing/>
    </w:pPr>
  </w:style>
  <w:style w:type="character" w:styleId="Hyperlink">
    <w:name w:val="Hyperlink"/>
    <w:basedOn w:val="DefaultParagraphFont"/>
    <w:uiPriority w:val="99"/>
    <w:unhideWhenUsed/>
    <w:rsid w:val="00EA554C"/>
    <w:rPr>
      <w:color w:val="0563C1" w:themeColor="hyperlink"/>
      <w:u w:val="single"/>
    </w:rPr>
  </w:style>
  <w:style w:type="character" w:styleId="UnresolvedMention">
    <w:name w:val="Unresolved Mention"/>
    <w:basedOn w:val="DefaultParagraphFont"/>
    <w:uiPriority w:val="99"/>
    <w:unhideWhenUsed/>
    <w:rsid w:val="00EA554C"/>
    <w:rPr>
      <w:color w:val="605E5C"/>
      <w:shd w:val="clear" w:color="auto" w:fill="E1DFDD"/>
    </w:rPr>
  </w:style>
  <w:style w:type="paragraph" w:styleId="Header">
    <w:name w:val="header"/>
    <w:basedOn w:val="Normal"/>
    <w:link w:val="HeaderChar"/>
    <w:uiPriority w:val="99"/>
    <w:unhideWhenUsed/>
    <w:rsid w:val="00B6710A"/>
    <w:pPr>
      <w:tabs>
        <w:tab w:val="center" w:pos="4680"/>
        <w:tab w:val="right" w:pos="9360"/>
      </w:tabs>
    </w:pPr>
  </w:style>
  <w:style w:type="character" w:customStyle="1" w:styleId="HeaderChar">
    <w:name w:val="Header Char"/>
    <w:basedOn w:val="DefaultParagraphFont"/>
    <w:link w:val="Header"/>
    <w:uiPriority w:val="99"/>
    <w:rsid w:val="00B6710A"/>
    <w:rPr>
      <w:sz w:val="24"/>
      <w:szCs w:val="24"/>
      <w:lang w:val="fr-CA"/>
    </w:rPr>
  </w:style>
  <w:style w:type="paragraph" w:styleId="Footer">
    <w:name w:val="footer"/>
    <w:basedOn w:val="Normal"/>
    <w:link w:val="FooterChar"/>
    <w:uiPriority w:val="99"/>
    <w:unhideWhenUsed/>
    <w:rsid w:val="00B6710A"/>
    <w:pPr>
      <w:tabs>
        <w:tab w:val="center" w:pos="4680"/>
        <w:tab w:val="right" w:pos="9360"/>
      </w:tabs>
    </w:pPr>
  </w:style>
  <w:style w:type="character" w:customStyle="1" w:styleId="FooterChar">
    <w:name w:val="Footer Char"/>
    <w:basedOn w:val="DefaultParagraphFont"/>
    <w:link w:val="Footer"/>
    <w:uiPriority w:val="99"/>
    <w:rsid w:val="00B6710A"/>
    <w:rPr>
      <w:sz w:val="24"/>
      <w:szCs w:val="24"/>
      <w:lang w:val="fr-CA"/>
    </w:rPr>
  </w:style>
  <w:style w:type="paragraph" w:styleId="CommentSubject">
    <w:name w:val="annotation subject"/>
    <w:basedOn w:val="CommentText"/>
    <w:next w:val="CommentText"/>
    <w:link w:val="CommentSubjectChar"/>
    <w:uiPriority w:val="99"/>
    <w:semiHidden/>
    <w:unhideWhenUsed/>
    <w:rsid w:val="000C4F9D"/>
    <w:rPr>
      <w:b/>
      <w:bCs/>
    </w:rPr>
  </w:style>
  <w:style w:type="character" w:customStyle="1" w:styleId="CommentSubjectChar">
    <w:name w:val="Comment Subject Char"/>
    <w:basedOn w:val="CommentTextChar"/>
    <w:link w:val="CommentSubject"/>
    <w:uiPriority w:val="99"/>
    <w:semiHidden/>
    <w:rsid w:val="000C4F9D"/>
    <w:rPr>
      <w:b/>
      <w:bCs/>
      <w:sz w:val="20"/>
      <w:szCs w:val="20"/>
      <w:lang w:val="fr-CA"/>
    </w:rPr>
  </w:style>
  <w:style w:type="character" w:styleId="Mention">
    <w:name w:val="Mention"/>
    <w:basedOn w:val="DefaultParagraphFont"/>
    <w:uiPriority w:val="99"/>
    <w:unhideWhenUsed/>
    <w:rsid w:val="00606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eformeapprentissageitinerance.ca/bibliotheque/ressources/rapport-communautaire-en-matiere-ditinerance-de-vers-un-chez-soi-outils-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AF774D35E1049AB5BAA2DCEF86C74" ma:contentTypeVersion="7" ma:contentTypeDescription="Create a new document." ma:contentTypeScope="" ma:versionID="8b0d0b27f96c267bfd0f4cd16218ad07">
  <xsd:schema xmlns:xsd="http://www.w3.org/2001/XMLSchema" xmlns:xs="http://www.w3.org/2001/XMLSchema" xmlns:p="http://schemas.microsoft.com/office/2006/metadata/properties" xmlns:ns3="f448376b-f0f6-4403-b3bb-b00687fa396d" xmlns:ns4="854fc7a8-a396-4ef5-b9b0-ff4f75b63245" targetNamespace="http://schemas.microsoft.com/office/2006/metadata/properties" ma:root="true" ma:fieldsID="acdb841408b08f9de35a9733528ee91c" ns3:_="" ns4:_="">
    <xsd:import namespace="f448376b-f0f6-4403-b3bb-b00687fa396d"/>
    <xsd:import namespace="854fc7a8-a396-4ef5-b9b0-ff4f75b632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376b-f0f6-4403-b3bb-b00687fa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fc7a8-a396-4ef5-b9b0-ff4f75b632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EB15C-9300-4DC7-9B47-C7601AB8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376b-f0f6-4403-b3bb-b00687fa396d"/>
    <ds:schemaRef ds:uri="854fc7a8-a396-4ef5-b9b0-ff4f75b63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7F85C-41E6-4289-BFEC-8D0DB43A40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4fc7a8-a396-4ef5-b9b0-ff4f75b63245"/>
    <ds:schemaRef ds:uri="f448376b-f0f6-4403-b3bb-b00687fa396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679209-F698-4E7A-82E5-EF697DB39F97}">
  <ds:schemaRefs>
    <ds:schemaRef ds:uri="http://schemas.openxmlformats.org/officeDocument/2006/bibliography"/>
  </ds:schemaRefs>
</ds:datastoreItem>
</file>

<file path=customXml/itemProps4.xml><?xml version="1.0" encoding="utf-8"?>
<ds:datastoreItem xmlns:ds="http://schemas.openxmlformats.org/officeDocument/2006/customXml" ds:itemID="{3AE87F19-593E-46F2-8640-9C1E88927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Links>
    <vt:vector size="6" baseType="variant">
      <vt:variant>
        <vt:i4>5308420</vt:i4>
      </vt:variant>
      <vt:variant>
        <vt:i4>0</vt:i4>
      </vt:variant>
      <vt:variant>
        <vt:i4>0</vt:i4>
      </vt:variant>
      <vt:variant>
        <vt:i4>5</vt:i4>
      </vt:variant>
      <vt:variant>
        <vt:lpwstr>https://homelessnesslearninghub.ca/library/resources/reaching-home-community-homelessness-report-reporting-tools/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Pye</dc:creator>
  <cp:keywords/>
  <dc:description/>
  <cp:lastModifiedBy>Ariel Haertel</cp:lastModifiedBy>
  <cp:revision>3</cp:revision>
  <dcterms:created xsi:type="dcterms:W3CDTF">2022-08-22T12:56:00Z</dcterms:created>
  <dcterms:modified xsi:type="dcterms:W3CDTF">2022-09-21T15:30:00Z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2022-08-17T15:17:04Z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a147f1dc-ee11-41ec-b51b-dd7639701d76</vt:lpwstr>
  </property>
  <property fmtid="{D5CDD505-2E9C-101B-9397-08002B2CF9AE}" pid="8" name="MSIP_Label_9dacc104-dfa0-47ae-bf90-8b8a399431b6_ContentBits">
    <vt:lpwstr>0</vt:lpwstr>
  </property>
  <property fmtid="{D5CDD505-2E9C-101B-9397-08002B2CF9AE}" pid="9" name="ContentTypeId">
    <vt:lpwstr>0x0101008C0AF774D35E1049AB5BAA2DCEF86C74</vt:lpwstr>
  </property>
</Properties>
</file>